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457EF">
      <w:pPr>
        <w:widowControl/>
        <w:jc w:val="center"/>
        <w:rPr>
          <w:rFonts w:ascii="Times New Roman" w:hAnsi="Times New Roman" w:eastAsia="方正小标宋简体" w:cs="Times New Roman"/>
          <w:b w:val="0"/>
          <w:bCs w:val="0"/>
          <w:color w:val="auto"/>
          <w:sz w:val="36"/>
          <w:szCs w:val="36"/>
          <w:highlight w:val="none"/>
        </w:rPr>
      </w:pPr>
      <w:r>
        <w:rPr>
          <w:rFonts w:ascii="Times New Roman" w:hAnsi="Times New Roman" w:eastAsia="方正小标宋简体" w:cs="Times New Roman"/>
          <w:b w:val="0"/>
          <w:bCs w:val="0"/>
          <w:color w:val="auto"/>
          <w:sz w:val="36"/>
          <w:szCs w:val="36"/>
          <w:highlight w:val="none"/>
        </w:rPr>
        <w:t>《</w:t>
      </w:r>
      <w:bookmarkStart w:id="84" w:name="_GoBack"/>
      <w:bookmarkEnd w:id="84"/>
      <w:r>
        <w:rPr>
          <w:rFonts w:hint="eastAsia" w:ascii="Times New Roman" w:hAnsi="Times New Roman" w:eastAsia="方正小标宋简体" w:cs="Times New Roman"/>
          <w:b w:val="0"/>
          <w:bCs w:val="0"/>
          <w:color w:val="auto"/>
          <w:sz w:val="36"/>
          <w:szCs w:val="36"/>
          <w:highlight w:val="none"/>
          <w:lang w:val="en-US" w:eastAsia="zh-CN"/>
        </w:rPr>
        <w:t>花牛苹果等级和规格</w:t>
      </w:r>
      <w:r>
        <w:rPr>
          <w:rFonts w:ascii="Times New Roman" w:hAnsi="Times New Roman" w:eastAsia="方正小标宋简体" w:cs="Times New Roman"/>
          <w:b w:val="0"/>
          <w:bCs w:val="0"/>
          <w:color w:val="auto"/>
          <w:sz w:val="36"/>
          <w:szCs w:val="36"/>
          <w:highlight w:val="none"/>
        </w:rPr>
        <w:t>》编制说明</w:t>
      </w:r>
    </w:p>
    <w:p w14:paraId="1372EE8E">
      <w:pPr>
        <w:widowControl/>
        <w:jc w:val="center"/>
        <w:rPr>
          <w:rFonts w:ascii="Times New Roman" w:hAnsi="Times New Roman" w:cs="Times New Roman"/>
          <w:color w:val="auto"/>
          <w:highlight w:val="none"/>
        </w:rPr>
      </w:pPr>
      <w:r>
        <w:rPr>
          <w:rFonts w:ascii="Times New Roman" w:hAnsi="Times New Roman" w:eastAsia="宋体" w:cs="Times New Roman"/>
          <w:color w:val="auto"/>
          <w:kern w:val="0"/>
          <w:sz w:val="31"/>
          <w:szCs w:val="31"/>
          <w:highlight w:val="none"/>
          <w:lang w:bidi="ar"/>
        </w:rPr>
        <w:t>（</w:t>
      </w:r>
      <w:r>
        <w:rPr>
          <w:rFonts w:hint="eastAsia" w:ascii="Times New Roman" w:hAnsi="Times New Roman" w:eastAsia="宋体" w:cs="Times New Roman"/>
          <w:color w:val="auto"/>
          <w:kern w:val="0"/>
          <w:sz w:val="31"/>
          <w:szCs w:val="31"/>
          <w:highlight w:val="none"/>
          <w:lang w:val="en-US" w:eastAsia="zh-CN" w:bidi="ar"/>
        </w:rPr>
        <w:t>征求意见稿</w:t>
      </w:r>
      <w:r>
        <w:rPr>
          <w:rFonts w:ascii="Times New Roman" w:hAnsi="Times New Roman" w:eastAsia="宋体" w:cs="Times New Roman"/>
          <w:color w:val="auto"/>
          <w:kern w:val="0"/>
          <w:sz w:val="31"/>
          <w:szCs w:val="31"/>
          <w:highlight w:val="none"/>
          <w:lang w:bidi="ar"/>
        </w:rPr>
        <w:t>）</w:t>
      </w:r>
    </w:p>
    <w:p w14:paraId="13B827DB">
      <w:pPr>
        <w:spacing w:before="120" w:after="120" w:line="288" w:lineRule="auto"/>
        <w:ind w:left="0" w:firstLine="422" w:firstLineChars="200"/>
        <w:jc w:val="left"/>
        <w:rPr>
          <w:rFonts w:hint="eastAsia" w:ascii="黑体" w:hAnsi="黑体" w:eastAsia="黑体" w:cs="黑体"/>
          <w:b/>
          <w:bCs/>
          <w:sz w:val="21"/>
          <w:szCs w:val="21"/>
          <w:lang w:val="en-US" w:eastAsia="zh-CN"/>
        </w:rPr>
      </w:pPr>
      <w:bookmarkStart w:id="0" w:name="heading_0"/>
      <w:r>
        <w:rPr>
          <w:rFonts w:hint="eastAsia" w:ascii="黑体" w:hAnsi="黑体" w:eastAsia="黑体" w:cs="黑体"/>
          <w:b/>
          <w:bCs/>
          <w:sz w:val="21"/>
          <w:szCs w:val="21"/>
          <w:lang w:val="en-US" w:eastAsia="zh-CN"/>
        </w:rPr>
        <w:t>一、工作简况</w:t>
      </w:r>
      <w:bookmarkEnd w:id="0"/>
    </w:p>
    <w:p w14:paraId="202CB9F8">
      <w:pPr>
        <w:widowControl/>
        <w:spacing w:before="312" w:beforeLines="100" w:after="312" w:afterLines="100"/>
        <w:ind w:firstLine="420" w:firstLineChars="200"/>
        <w:jc w:val="left"/>
        <w:rPr>
          <w:rFonts w:ascii="Times New Roman" w:hAnsi="Times New Roman" w:eastAsia="楷体" w:cs="Times New Roman"/>
          <w:color w:val="auto"/>
          <w:sz w:val="21"/>
          <w:szCs w:val="21"/>
          <w:highlight w:val="none"/>
        </w:rPr>
      </w:pPr>
      <w:r>
        <w:rPr>
          <w:rFonts w:ascii="Times New Roman" w:hAnsi="Times New Roman" w:eastAsia="楷体" w:cs="Times New Roman"/>
          <w:color w:val="auto"/>
          <w:kern w:val="0"/>
          <w:sz w:val="21"/>
          <w:szCs w:val="21"/>
          <w:highlight w:val="none"/>
          <w:lang w:bidi="ar"/>
        </w:rPr>
        <w:t>（一）任务来源</w:t>
      </w:r>
    </w:p>
    <w:p w14:paraId="2B86CE44">
      <w:pPr>
        <w:widowControl/>
        <w:spacing w:line="300" w:lineRule="auto"/>
        <w:ind w:firstLine="420" w:firstLineChars="200"/>
        <w:jc w:val="both"/>
        <w:rPr>
          <w:rFonts w:ascii="Times New Roman" w:hAnsi="Times New Roman" w:eastAsia="仿宋" w:cs="Times New Roman"/>
          <w:color w:val="auto"/>
          <w:kern w:val="0"/>
          <w:sz w:val="21"/>
          <w:szCs w:val="21"/>
          <w:highlight w:val="none"/>
          <w:lang w:val="en-US" w:eastAsia="zh-CN" w:bidi="ar"/>
        </w:rPr>
      </w:pPr>
      <w:r>
        <w:rPr>
          <w:rFonts w:ascii="Times New Roman" w:hAnsi="Times New Roman" w:eastAsia="仿宋" w:cs="Times New Roman"/>
          <w:color w:val="auto"/>
          <w:kern w:val="0"/>
          <w:sz w:val="21"/>
          <w:szCs w:val="21"/>
          <w:highlight w:val="none"/>
          <w:lang w:val="en-US" w:eastAsia="zh-CN" w:bidi="ar"/>
        </w:rPr>
        <w:t>我国是全球苹果第一大生产与消费国，202</w:t>
      </w:r>
      <w:r>
        <w:rPr>
          <w:rFonts w:hint="eastAsia" w:ascii="Times New Roman" w:hAnsi="Times New Roman" w:eastAsia="仿宋" w:cs="Times New Roman"/>
          <w:color w:val="auto"/>
          <w:kern w:val="0"/>
          <w:sz w:val="21"/>
          <w:szCs w:val="21"/>
          <w:highlight w:val="none"/>
          <w:lang w:val="en-US" w:eastAsia="zh-CN" w:bidi="ar"/>
        </w:rPr>
        <w:t>5</w:t>
      </w:r>
      <w:r>
        <w:rPr>
          <w:rFonts w:ascii="Times New Roman" w:hAnsi="Times New Roman" w:eastAsia="仿宋" w:cs="Times New Roman"/>
          <w:color w:val="auto"/>
          <w:kern w:val="0"/>
          <w:sz w:val="21"/>
          <w:szCs w:val="21"/>
          <w:highlight w:val="none"/>
          <w:lang w:val="en-US" w:eastAsia="zh-CN" w:bidi="ar"/>
        </w:rPr>
        <w:t>年全国苹果种植面积28</w:t>
      </w:r>
      <w:r>
        <w:rPr>
          <w:rFonts w:hint="eastAsia" w:ascii="Times New Roman" w:hAnsi="Times New Roman" w:eastAsia="仿宋" w:cs="Times New Roman"/>
          <w:color w:val="auto"/>
          <w:kern w:val="0"/>
          <w:sz w:val="21"/>
          <w:szCs w:val="21"/>
          <w:highlight w:val="none"/>
          <w:lang w:val="en-US" w:eastAsia="zh-CN" w:bidi="ar"/>
        </w:rPr>
        <w:t>38</w:t>
      </w:r>
      <w:r>
        <w:rPr>
          <w:rFonts w:ascii="Times New Roman" w:hAnsi="Times New Roman" w:eastAsia="仿宋" w:cs="Times New Roman"/>
          <w:color w:val="auto"/>
          <w:kern w:val="0"/>
          <w:sz w:val="21"/>
          <w:szCs w:val="21"/>
          <w:highlight w:val="none"/>
          <w:lang w:val="en-US" w:eastAsia="zh-CN" w:bidi="ar"/>
        </w:rPr>
        <w:t>万亩、总产量</w:t>
      </w:r>
      <w:r>
        <w:rPr>
          <w:rFonts w:hint="eastAsia" w:ascii="Times New Roman" w:hAnsi="Times New Roman" w:eastAsia="仿宋" w:cs="Times New Roman"/>
          <w:color w:val="auto"/>
          <w:kern w:val="0"/>
          <w:sz w:val="21"/>
          <w:szCs w:val="21"/>
          <w:highlight w:val="none"/>
          <w:lang w:val="en-US" w:eastAsia="zh-CN" w:bidi="ar"/>
        </w:rPr>
        <w:t>3805</w:t>
      </w:r>
      <w:r>
        <w:rPr>
          <w:rFonts w:ascii="Times New Roman" w:hAnsi="Times New Roman" w:eastAsia="仿宋" w:cs="Times New Roman"/>
          <w:color w:val="auto"/>
          <w:kern w:val="0"/>
          <w:sz w:val="21"/>
          <w:szCs w:val="21"/>
          <w:highlight w:val="none"/>
          <w:lang w:val="en-US" w:eastAsia="zh-CN" w:bidi="ar"/>
        </w:rPr>
        <w:t>万吨，</w:t>
      </w:r>
      <w:r>
        <w:rPr>
          <w:rFonts w:hint="eastAsia" w:ascii="Times New Roman" w:hAnsi="Times New Roman" w:eastAsia="仿宋" w:cs="Times New Roman"/>
          <w:color w:val="auto"/>
          <w:kern w:val="0"/>
          <w:sz w:val="21"/>
          <w:szCs w:val="21"/>
          <w:highlight w:val="none"/>
          <w:lang w:val="en-US" w:eastAsia="zh-CN" w:bidi="ar"/>
        </w:rPr>
        <w:t>花牛苹果</w:t>
      </w:r>
      <w:r>
        <w:rPr>
          <w:rFonts w:ascii="Times New Roman" w:hAnsi="Times New Roman" w:eastAsia="仿宋" w:cs="Times New Roman"/>
          <w:color w:val="auto"/>
          <w:kern w:val="0"/>
          <w:sz w:val="21"/>
          <w:szCs w:val="21"/>
          <w:highlight w:val="none"/>
          <w:lang w:val="en-US" w:eastAsia="zh-CN" w:bidi="ar"/>
        </w:rPr>
        <w:t>作为国内</w:t>
      </w:r>
      <w:r>
        <w:rPr>
          <w:rFonts w:hint="eastAsia" w:ascii="Times New Roman" w:hAnsi="Times New Roman" w:eastAsia="仿宋" w:cs="Times New Roman"/>
          <w:color w:val="auto"/>
          <w:kern w:val="0"/>
          <w:sz w:val="21"/>
          <w:szCs w:val="21"/>
          <w:highlight w:val="none"/>
          <w:lang w:val="en-US" w:eastAsia="zh-CN" w:bidi="ar"/>
        </w:rPr>
        <w:t>特色中</w:t>
      </w:r>
      <w:r>
        <w:rPr>
          <w:rFonts w:ascii="Times New Roman" w:hAnsi="Times New Roman" w:eastAsia="仿宋" w:cs="Times New Roman"/>
          <w:color w:val="auto"/>
          <w:kern w:val="0"/>
          <w:sz w:val="21"/>
          <w:szCs w:val="21"/>
          <w:highlight w:val="none"/>
          <w:lang w:val="en-US" w:eastAsia="zh-CN" w:bidi="ar"/>
        </w:rPr>
        <w:t>熟苹果品种，种植覆盖甘肃</w:t>
      </w:r>
      <w:r>
        <w:rPr>
          <w:rFonts w:hint="eastAsia" w:ascii="Times New Roman" w:hAnsi="Times New Roman" w:eastAsia="仿宋" w:cs="Times New Roman"/>
          <w:color w:val="auto"/>
          <w:kern w:val="0"/>
          <w:sz w:val="21"/>
          <w:szCs w:val="21"/>
          <w:highlight w:val="none"/>
          <w:lang w:val="en-US" w:eastAsia="zh-CN" w:bidi="ar"/>
        </w:rPr>
        <w:t>天水</w:t>
      </w:r>
      <w:r>
        <w:rPr>
          <w:rFonts w:ascii="Times New Roman" w:hAnsi="Times New Roman" w:eastAsia="仿宋" w:cs="Times New Roman"/>
          <w:color w:val="auto"/>
          <w:kern w:val="0"/>
          <w:sz w:val="21"/>
          <w:szCs w:val="21"/>
          <w:highlight w:val="none"/>
          <w:lang w:val="en-US" w:eastAsia="zh-CN" w:bidi="ar"/>
        </w:rPr>
        <w:t>核心产区，是填补</w:t>
      </w:r>
      <w:r>
        <w:rPr>
          <w:rFonts w:hint="eastAsia" w:ascii="Times New Roman" w:hAnsi="Times New Roman" w:eastAsia="仿宋" w:cs="Times New Roman"/>
          <w:color w:val="auto"/>
          <w:kern w:val="0"/>
          <w:sz w:val="21"/>
          <w:szCs w:val="21"/>
          <w:highlight w:val="none"/>
          <w:lang w:val="en-US" w:eastAsia="zh-CN" w:bidi="ar"/>
        </w:rPr>
        <w:t>苹果果品</w:t>
      </w:r>
      <w:r>
        <w:rPr>
          <w:rFonts w:ascii="Times New Roman" w:hAnsi="Times New Roman" w:eastAsia="仿宋" w:cs="Times New Roman"/>
          <w:color w:val="auto"/>
          <w:kern w:val="0"/>
          <w:sz w:val="21"/>
          <w:szCs w:val="21"/>
          <w:highlight w:val="none"/>
          <w:lang w:val="en-US" w:eastAsia="zh-CN" w:bidi="ar"/>
        </w:rPr>
        <w:t>市场空档、优化苹果品种结构、延伸苹果全产业链的关键果品，在果农增收、县域特色农业发展中占据重要地位。</w:t>
      </w:r>
    </w:p>
    <w:p w14:paraId="720D246C">
      <w:pPr>
        <w:widowControl/>
        <w:spacing w:line="300" w:lineRule="auto"/>
        <w:ind w:firstLine="420" w:firstLineChars="200"/>
        <w:jc w:val="both"/>
        <w:rPr>
          <w:rFonts w:ascii="Times New Roman" w:hAnsi="Times New Roman" w:eastAsia="仿宋" w:cs="Times New Roman"/>
          <w:color w:val="auto"/>
          <w:kern w:val="0"/>
          <w:sz w:val="21"/>
          <w:szCs w:val="21"/>
          <w:highlight w:val="none"/>
          <w:lang w:val="en-US" w:eastAsia="zh-CN" w:bidi="ar"/>
        </w:rPr>
      </w:pPr>
      <w:r>
        <w:rPr>
          <w:rFonts w:ascii="Times New Roman" w:hAnsi="Times New Roman" w:eastAsia="仿宋" w:cs="Times New Roman"/>
          <w:color w:val="auto"/>
          <w:kern w:val="0"/>
          <w:sz w:val="21"/>
          <w:szCs w:val="21"/>
          <w:highlight w:val="none"/>
          <w:lang w:val="en-US" w:eastAsia="zh-CN" w:bidi="ar"/>
        </w:rPr>
        <w:t>当前</w:t>
      </w:r>
      <w:r>
        <w:rPr>
          <w:rFonts w:hint="eastAsia" w:ascii="Times New Roman" w:hAnsi="Times New Roman" w:eastAsia="仿宋" w:cs="Times New Roman"/>
          <w:color w:val="auto"/>
          <w:kern w:val="0"/>
          <w:sz w:val="21"/>
          <w:szCs w:val="21"/>
          <w:highlight w:val="none"/>
          <w:lang w:val="en-US" w:eastAsia="zh-CN" w:bidi="ar"/>
        </w:rPr>
        <w:t>农业农村部办公厅印发《水果优质化发展推进工作方案》（农办质〔2025〕22 号），全国农技中心印发《全国水果优质化发展技术协作工作方案》（农技栽〔2026〕38 号），</w:t>
      </w:r>
      <w:r>
        <w:rPr>
          <w:rFonts w:ascii="Times New Roman" w:hAnsi="Times New Roman" w:eastAsia="仿宋" w:cs="Times New Roman"/>
          <w:color w:val="auto"/>
          <w:kern w:val="0"/>
          <w:sz w:val="21"/>
          <w:szCs w:val="21"/>
          <w:highlight w:val="none"/>
          <w:lang w:val="en-US" w:eastAsia="zh-CN" w:bidi="ar"/>
        </w:rPr>
        <w:t>全国水果优质化</w:t>
      </w:r>
      <w:r>
        <w:rPr>
          <w:rFonts w:hint="eastAsia" w:ascii="Times New Roman" w:hAnsi="Times New Roman" w:eastAsia="仿宋" w:cs="Times New Roman"/>
          <w:color w:val="auto"/>
          <w:kern w:val="0"/>
          <w:sz w:val="21"/>
          <w:szCs w:val="21"/>
          <w:highlight w:val="none"/>
          <w:lang w:val="en-US" w:eastAsia="zh-CN" w:bidi="ar"/>
        </w:rPr>
        <w:t>工作持续推进</w:t>
      </w:r>
      <w:r>
        <w:rPr>
          <w:rFonts w:ascii="Times New Roman" w:hAnsi="Times New Roman" w:eastAsia="仿宋" w:cs="Times New Roman"/>
          <w:color w:val="auto"/>
          <w:kern w:val="0"/>
          <w:sz w:val="21"/>
          <w:szCs w:val="21"/>
          <w:highlight w:val="none"/>
          <w:lang w:val="en-US" w:eastAsia="zh-CN" w:bidi="ar"/>
        </w:rPr>
        <w:t>，农业农村部持续推进果品品种培优、品质提升、品牌打造与标准化生产，但国内尚无</w:t>
      </w:r>
      <w:r>
        <w:rPr>
          <w:rFonts w:hint="eastAsia" w:ascii="Times New Roman" w:hAnsi="Times New Roman" w:eastAsia="仿宋" w:cs="Times New Roman"/>
          <w:color w:val="auto"/>
          <w:kern w:val="0"/>
          <w:sz w:val="21"/>
          <w:szCs w:val="21"/>
          <w:highlight w:val="none"/>
          <w:lang w:val="en-US" w:eastAsia="zh-CN" w:bidi="ar"/>
        </w:rPr>
        <w:t>花牛</w:t>
      </w:r>
      <w:r>
        <w:rPr>
          <w:rFonts w:ascii="Times New Roman" w:hAnsi="Times New Roman" w:eastAsia="仿宋" w:cs="Times New Roman"/>
          <w:color w:val="auto"/>
          <w:kern w:val="0"/>
          <w:sz w:val="21"/>
          <w:szCs w:val="21"/>
          <w:highlight w:val="none"/>
          <w:lang w:val="en-US" w:eastAsia="zh-CN" w:bidi="ar"/>
        </w:rPr>
        <w:t>苹果专用分级国家标准、行业标准，现有通用国标GB/T 10651-2008《鲜苹果》适配苹果通用品类，无法匹配</w:t>
      </w:r>
      <w:r>
        <w:rPr>
          <w:rFonts w:hint="eastAsia" w:ascii="Times New Roman" w:hAnsi="Times New Roman" w:eastAsia="仿宋" w:cs="Times New Roman"/>
          <w:color w:val="auto"/>
          <w:kern w:val="0"/>
          <w:sz w:val="21"/>
          <w:szCs w:val="21"/>
          <w:highlight w:val="none"/>
          <w:lang w:val="en-US" w:eastAsia="zh-CN" w:bidi="ar"/>
        </w:rPr>
        <w:t>花牛苹果果顶五棱突起、果形高桩、色泽浓红、香气浓郁，</w:t>
      </w:r>
      <w:r>
        <w:rPr>
          <w:rFonts w:ascii="Times New Roman" w:hAnsi="Times New Roman" w:eastAsia="仿宋" w:cs="Times New Roman"/>
          <w:color w:val="auto"/>
          <w:kern w:val="0"/>
          <w:sz w:val="21"/>
          <w:szCs w:val="21"/>
          <w:highlight w:val="none"/>
          <w:lang w:val="en-US" w:eastAsia="zh-CN" w:bidi="ar"/>
        </w:rPr>
        <w:t>现行地方标准零散不一，分级指标、缺陷判定、理化阈值不统一，</w:t>
      </w:r>
      <w:r>
        <w:rPr>
          <w:rFonts w:hint="eastAsia" w:ascii="Times New Roman" w:hAnsi="Times New Roman" w:eastAsia="仿宋" w:cs="Times New Roman"/>
          <w:color w:val="auto"/>
          <w:kern w:val="0"/>
          <w:sz w:val="21"/>
          <w:szCs w:val="21"/>
          <w:highlight w:val="none"/>
          <w:lang w:val="en-US" w:eastAsia="zh-CN" w:bidi="ar"/>
        </w:rPr>
        <w:t>各级果品</w:t>
      </w:r>
      <w:r>
        <w:rPr>
          <w:rFonts w:ascii="Times New Roman" w:hAnsi="Times New Roman" w:eastAsia="仿宋" w:cs="Times New Roman"/>
          <w:color w:val="auto"/>
          <w:kern w:val="0"/>
          <w:sz w:val="21"/>
          <w:szCs w:val="21"/>
          <w:highlight w:val="none"/>
          <w:lang w:val="en-US" w:eastAsia="zh-CN" w:bidi="ar"/>
        </w:rPr>
        <w:t>混级售卖、优质不优价，制约</w:t>
      </w:r>
      <w:r>
        <w:rPr>
          <w:rFonts w:hint="eastAsia" w:ascii="Times New Roman" w:hAnsi="Times New Roman" w:eastAsia="仿宋" w:cs="Times New Roman"/>
          <w:color w:val="auto"/>
          <w:kern w:val="0"/>
          <w:sz w:val="21"/>
          <w:szCs w:val="21"/>
          <w:highlight w:val="none"/>
          <w:lang w:val="en-US" w:eastAsia="zh-CN" w:bidi="ar"/>
        </w:rPr>
        <w:t>花牛</w:t>
      </w:r>
      <w:r>
        <w:rPr>
          <w:rFonts w:ascii="Times New Roman" w:hAnsi="Times New Roman" w:eastAsia="仿宋" w:cs="Times New Roman"/>
          <w:color w:val="auto"/>
          <w:kern w:val="0"/>
          <w:sz w:val="21"/>
          <w:szCs w:val="21"/>
          <w:highlight w:val="none"/>
          <w:lang w:val="en-US" w:eastAsia="zh-CN" w:bidi="ar"/>
        </w:rPr>
        <w:t>苹果产业化、品牌化高质量发展。</w:t>
      </w:r>
    </w:p>
    <w:p w14:paraId="03B3EC69">
      <w:pPr>
        <w:widowControl/>
        <w:spacing w:line="300" w:lineRule="auto"/>
        <w:ind w:firstLine="420" w:firstLineChars="200"/>
        <w:jc w:val="both"/>
        <w:rPr>
          <w:rFonts w:ascii="Times New Roman" w:hAnsi="Times New Roman" w:eastAsia="仿宋" w:cs="Times New Roman"/>
          <w:color w:val="auto"/>
          <w:kern w:val="0"/>
          <w:sz w:val="21"/>
          <w:szCs w:val="21"/>
          <w:highlight w:val="none"/>
          <w:lang w:val="en-US" w:eastAsia="zh-CN" w:bidi="ar"/>
        </w:rPr>
      </w:pPr>
      <w:r>
        <w:rPr>
          <w:rFonts w:ascii="Times New Roman" w:hAnsi="Times New Roman" w:eastAsia="仿宋" w:cs="Times New Roman"/>
          <w:color w:val="auto"/>
          <w:kern w:val="0"/>
          <w:sz w:val="21"/>
          <w:szCs w:val="21"/>
          <w:highlight w:val="none"/>
          <w:lang w:val="en-US" w:eastAsia="zh-CN" w:bidi="ar"/>
        </w:rPr>
        <w:t>国内</w:t>
      </w:r>
      <w:r>
        <w:rPr>
          <w:rFonts w:hint="eastAsia" w:ascii="Times New Roman" w:hAnsi="Times New Roman" w:eastAsia="仿宋" w:cs="Times New Roman"/>
          <w:color w:val="auto"/>
          <w:kern w:val="0"/>
          <w:sz w:val="21"/>
          <w:szCs w:val="21"/>
          <w:highlight w:val="none"/>
          <w:lang w:val="en-US" w:eastAsia="zh-CN" w:bidi="ar"/>
        </w:rPr>
        <w:t>国家标准</w:t>
      </w:r>
      <w:r>
        <w:rPr>
          <w:rFonts w:hint="default" w:ascii="Times New Roman" w:hAnsi="Times New Roman" w:eastAsia="仿宋" w:cs="Times New Roman"/>
          <w:color w:val="auto"/>
          <w:kern w:val="0"/>
          <w:sz w:val="21"/>
          <w:szCs w:val="21"/>
          <w:highlight w:val="none"/>
          <w:lang w:val="en-US" w:eastAsia="zh-CN" w:bidi="ar"/>
        </w:rPr>
        <w:t>NY/T 2637 果蔬可溶性固形物折射仪测定</w:t>
      </w:r>
      <w:r>
        <w:rPr>
          <w:rFonts w:hint="eastAsia" w:ascii="Times New Roman" w:hAnsi="Times New Roman" w:eastAsia="仿宋" w:cs="Times New Roman"/>
          <w:color w:val="auto"/>
          <w:kern w:val="0"/>
          <w:sz w:val="21"/>
          <w:szCs w:val="21"/>
          <w:highlight w:val="none"/>
          <w:lang w:val="en-US" w:eastAsia="zh-CN" w:bidi="ar"/>
        </w:rPr>
        <w:t>、</w:t>
      </w:r>
      <w:r>
        <w:rPr>
          <w:rFonts w:hint="default" w:ascii="Times New Roman" w:hAnsi="Times New Roman" w:eastAsia="仿宋" w:cs="Times New Roman"/>
          <w:color w:val="auto"/>
          <w:kern w:val="0"/>
          <w:sz w:val="21"/>
          <w:szCs w:val="21"/>
          <w:highlight w:val="none"/>
          <w:lang w:val="en-US" w:eastAsia="zh-CN" w:bidi="ar"/>
        </w:rPr>
        <w:t>GB/T 23616</w:t>
      </w:r>
      <w:r>
        <w:rPr>
          <w:rFonts w:hint="eastAsia" w:ascii="Times New Roman" w:hAnsi="Times New Roman" w:eastAsia="仿宋" w:cs="Times New Roman"/>
          <w:color w:val="auto"/>
          <w:kern w:val="0"/>
          <w:sz w:val="21"/>
          <w:szCs w:val="21"/>
          <w:highlight w:val="none"/>
          <w:lang w:val="en-US" w:eastAsia="zh-CN" w:bidi="ar"/>
        </w:rPr>
        <w:t>-2009</w:t>
      </w:r>
      <w:r>
        <w:rPr>
          <w:rFonts w:hint="default" w:ascii="Times New Roman" w:hAnsi="Times New Roman" w:eastAsia="仿宋" w:cs="Times New Roman"/>
          <w:color w:val="auto"/>
          <w:kern w:val="0"/>
          <w:sz w:val="21"/>
          <w:szCs w:val="21"/>
          <w:highlight w:val="none"/>
          <w:lang w:val="en-US" w:eastAsia="zh-CN" w:bidi="ar"/>
        </w:rPr>
        <w:t xml:space="preserve"> 加工用苹果分级</w:t>
      </w:r>
      <w:r>
        <w:rPr>
          <w:rFonts w:hint="eastAsia" w:ascii="Times New Roman" w:hAnsi="Times New Roman" w:eastAsia="仿宋" w:cs="Times New Roman"/>
          <w:color w:val="auto"/>
          <w:kern w:val="0"/>
          <w:sz w:val="21"/>
          <w:szCs w:val="21"/>
          <w:highlight w:val="none"/>
          <w:lang w:val="en-US" w:eastAsia="zh-CN" w:bidi="ar"/>
        </w:rPr>
        <w:t>；行业标准</w:t>
      </w:r>
      <w:r>
        <w:rPr>
          <w:rFonts w:hint="default" w:ascii="Times New Roman" w:hAnsi="Times New Roman" w:eastAsia="仿宋" w:cs="Times New Roman"/>
          <w:color w:val="auto"/>
          <w:kern w:val="0"/>
          <w:sz w:val="21"/>
          <w:szCs w:val="21"/>
          <w:highlight w:val="none"/>
          <w:lang w:val="en-US" w:eastAsia="zh-CN" w:bidi="ar"/>
        </w:rPr>
        <w:t>NY/T 2316-2023</w:t>
      </w:r>
      <w:r>
        <w:rPr>
          <w:rFonts w:hint="eastAsia" w:ascii="Times New Roman" w:hAnsi="Times New Roman" w:eastAsia="仿宋" w:cs="Times New Roman"/>
          <w:color w:val="auto"/>
          <w:kern w:val="0"/>
          <w:sz w:val="21"/>
          <w:szCs w:val="21"/>
          <w:highlight w:val="none"/>
          <w:lang w:val="en-US" w:eastAsia="zh-CN" w:bidi="ar"/>
        </w:rPr>
        <w:t xml:space="preserve"> </w:t>
      </w:r>
      <w:r>
        <w:rPr>
          <w:rFonts w:hint="default" w:ascii="Times New Roman" w:hAnsi="Times New Roman" w:eastAsia="仿宋" w:cs="Times New Roman"/>
          <w:color w:val="auto"/>
          <w:kern w:val="0"/>
          <w:sz w:val="21"/>
          <w:szCs w:val="21"/>
          <w:highlight w:val="none"/>
          <w:lang w:val="en-US" w:eastAsia="zh-CN" w:bidi="ar"/>
        </w:rPr>
        <w:t>苹果品质指标评价规范</w:t>
      </w:r>
      <w:r>
        <w:rPr>
          <w:rFonts w:ascii="Times New Roman" w:hAnsi="Times New Roman" w:eastAsia="仿宋" w:cs="Times New Roman"/>
          <w:color w:val="auto"/>
          <w:kern w:val="0"/>
          <w:sz w:val="21"/>
          <w:szCs w:val="21"/>
          <w:highlight w:val="none"/>
          <w:lang w:val="en-US" w:eastAsia="zh-CN" w:bidi="ar"/>
        </w:rPr>
        <w:t>成熟团体标准</w:t>
      </w:r>
      <w:r>
        <w:rPr>
          <w:rFonts w:hint="eastAsia" w:ascii="Times New Roman" w:hAnsi="Times New Roman" w:eastAsia="仿宋" w:cs="Times New Roman"/>
          <w:color w:val="auto"/>
          <w:kern w:val="0"/>
          <w:sz w:val="21"/>
          <w:szCs w:val="21"/>
          <w:highlight w:val="none"/>
          <w:lang w:val="en-US" w:eastAsia="zh-CN" w:bidi="ar"/>
        </w:rPr>
        <w:t>、</w:t>
      </w:r>
      <w:r>
        <w:rPr>
          <w:rFonts w:hint="default" w:ascii="Times New Roman" w:hAnsi="Times New Roman" w:eastAsia="仿宋" w:cs="Times New Roman"/>
          <w:color w:val="auto"/>
          <w:kern w:val="0"/>
          <w:sz w:val="21"/>
          <w:szCs w:val="21"/>
          <w:highlight w:val="none"/>
          <w:lang w:val="en-US" w:eastAsia="zh-CN" w:bidi="ar"/>
        </w:rPr>
        <w:t>NY/T 2637 果蔬可溶性固形物折射仪测定</w:t>
      </w:r>
      <w:r>
        <w:rPr>
          <w:rFonts w:hint="eastAsia" w:ascii="Times New Roman" w:hAnsi="Times New Roman" w:eastAsia="仿宋" w:cs="Times New Roman"/>
          <w:color w:val="auto"/>
          <w:kern w:val="0"/>
          <w:sz w:val="21"/>
          <w:szCs w:val="21"/>
          <w:highlight w:val="none"/>
          <w:lang w:val="en-US" w:eastAsia="zh-CN" w:bidi="ar"/>
        </w:rPr>
        <w:t>；团体标准T/CNCAIA 0009-2024静宁红富士苹果质量等级规格</w:t>
      </w:r>
      <w:r>
        <w:rPr>
          <w:rFonts w:hint="default" w:ascii="Times New Roman" w:hAnsi="Times New Roman" w:eastAsia="仿宋" w:cs="Times New Roman"/>
          <w:color w:val="auto"/>
          <w:kern w:val="0"/>
          <w:sz w:val="21"/>
          <w:szCs w:val="21"/>
          <w:highlight w:val="none"/>
          <w:lang w:val="en-US" w:eastAsia="zh-CN" w:bidi="ar"/>
        </w:rPr>
        <w:t>落地实施，为</w:t>
      </w:r>
      <w:r>
        <w:rPr>
          <w:rFonts w:hint="eastAsia" w:ascii="Times New Roman" w:hAnsi="Times New Roman" w:eastAsia="仿宋" w:cs="Times New Roman"/>
          <w:color w:val="auto"/>
          <w:kern w:val="0"/>
          <w:sz w:val="21"/>
          <w:szCs w:val="21"/>
          <w:highlight w:val="none"/>
          <w:lang w:val="en-US" w:eastAsia="zh-CN" w:bidi="ar"/>
        </w:rPr>
        <w:t>花牛苹果</w:t>
      </w:r>
      <w:r>
        <w:rPr>
          <w:rFonts w:hint="default" w:ascii="Times New Roman" w:hAnsi="Times New Roman" w:eastAsia="仿宋" w:cs="Times New Roman"/>
          <w:color w:val="auto"/>
          <w:kern w:val="0"/>
          <w:sz w:val="21"/>
          <w:szCs w:val="21"/>
          <w:highlight w:val="none"/>
          <w:lang w:val="en-US" w:eastAsia="zh-CN" w:bidi="ar"/>
        </w:rPr>
        <w:t>标准化编制提供成熟框架参考。为落实全国水果优质化工作部署，统一全国</w:t>
      </w:r>
      <w:r>
        <w:rPr>
          <w:rFonts w:hint="eastAsia" w:ascii="Times New Roman" w:hAnsi="Times New Roman" w:eastAsia="仿宋" w:cs="Times New Roman"/>
          <w:color w:val="auto"/>
          <w:kern w:val="0"/>
          <w:sz w:val="21"/>
          <w:szCs w:val="21"/>
          <w:highlight w:val="none"/>
          <w:lang w:val="en-US" w:eastAsia="zh-CN" w:bidi="ar"/>
        </w:rPr>
        <w:t>花牛</w:t>
      </w:r>
      <w:r>
        <w:rPr>
          <w:rFonts w:hint="default" w:ascii="Times New Roman" w:hAnsi="Times New Roman" w:eastAsia="仿宋" w:cs="Times New Roman"/>
          <w:color w:val="auto"/>
          <w:kern w:val="0"/>
          <w:sz w:val="21"/>
          <w:szCs w:val="21"/>
          <w:highlight w:val="none"/>
          <w:lang w:val="en-US" w:eastAsia="zh-CN" w:bidi="ar"/>
        </w:rPr>
        <w:t>苹果采收、收购、贮藏、流</w:t>
      </w:r>
      <w:r>
        <w:rPr>
          <w:rFonts w:ascii="Times New Roman" w:hAnsi="Times New Roman" w:eastAsia="仿宋" w:cs="Times New Roman"/>
          <w:color w:val="auto"/>
          <w:kern w:val="0"/>
          <w:sz w:val="21"/>
          <w:szCs w:val="21"/>
          <w:highlight w:val="none"/>
          <w:lang w:val="en-US" w:eastAsia="zh-CN" w:bidi="ar"/>
        </w:rPr>
        <w:t>通、</w:t>
      </w:r>
      <w:r>
        <w:rPr>
          <w:rFonts w:hint="eastAsia" w:ascii="Times New Roman" w:hAnsi="Times New Roman" w:eastAsia="仿宋" w:cs="Times New Roman"/>
          <w:color w:val="auto"/>
          <w:kern w:val="0"/>
          <w:sz w:val="21"/>
          <w:szCs w:val="21"/>
          <w:highlight w:val="none"/>
          <w:lang w:val="en-US" w:eastAsia="zh-CN" w:bidi="ar"/>
        </w:rPr>
        <w:t>等</w:t>
      </w:r>
      <w:r>
        <w:rPr>
          <w:rFonts w:ascii="Times New Roman" w:hAnsi="Times New Roman" w:eastAsia="仿宋" w:cs="Times New Roman"/>
          <w:color w:val="auto"/>
          <w:kern w:val="0"/>
          <w:sz w:val="21"/>
          <w:szCs w:val="21"/>
          <w:highlight w:val="none"/>
          <w:lang w:val="en-US" w:eastAsia="zh-CN" w:bidi="ar"/>
        </w:rPr>
        <w:t>级判定依据，规范全产业链质量管控，由全国</w:t>
      </w:r>
      <w:r>
        <w:rPr>
          <w:rFonts w:hint="eastAsia" w:ascii="Times New Roman" w:hAnsi="Times New Roman" w:eastAsia="仿宋" w:cs="Times New Roman"/>
          <w:color w:val="auto"/>
          <w:kern w:val="0"/>
          <w:sz w:val="21"/>
          <w:szCs w:val="21"/>
          <w:highlight w:val="none"/>
          <w:lang w:val="en-US" w:eastAsia="zh-CN" w:bidi="ar"/>
        </w:rPr>
        <w:t>农技中心</w:t>
      </w:r>
      <w:r>
        <w:rPr>
          <w:rFonts w:ascii="Times New Roman" w:hAnsi="Times New Roman" w:eastAsia="仿宋" w:cs="Times New Roman"/>
          <w:color w:val="auto"/>
          <w:kern w:val="0"/>
          <w:sz w:val="21"/>
          <w:szCs w:val="21"/>
          <w:highlight w:val="none"/>
          <w:lang w:val="en-US" w:eastAsia="zh-CN" w:bidi="ar"/>
        </w:rPr>
        <w:t>提出立项，中国苹果产业协会归口立项，纳入协会年度团体标准编制计划，委托</w:t>
      </w:r>
      <w:r>
        <w:rPr>
          <w:rFonts w:hint="eastAsia" w:ascii="Times New Roman" w:hAnsi="Times New Roman" w:eastAsia="仿宋" w:cs="Times New Roman"/>
          <w:color w:val="auto"/>
          <w:kern w:val="0"/>
          <w:sz w:val="21"/>
          <w:szCs w:val="21"/>
          <w:highlight w:val="none"/>
          <w:lang w:val="en-US" w:eastAsia="zh-CN" w:bidi="ar"/>
        </w:rPr>
        <w:t>西北农林科技大学</w:t>
      </w:r>
      <w:r>
        <w:rPr>
          <w:rFonts w:ascii="Times New Roman" w:hAnsi="Times New Roman" w:eastAsia="仿宋" w:cs="Times New Roman"/>
          <w:color w:val="auto"/>
          <w:kern w:val="0"/>
          <w:sz w:val="21"/>
          <w:szCs w:val="21"/>
          <w:highlight w:val="none"/>
          <w:lang w:val="en-US" w:eastAsia="zh-CN" w:bidi="ar"/>
        </w:rPr>
        <w:t>牵头组建起草工作组，</w:t>
      </w:r>
      <w:r>
        <w:rPr>
          <w:rFonts w:hint="eastAsia" w:ascii="Times New Roman" w:hAnsi="Times New Roman" w:eastAsia="仿宋" w:cs="Times New Roman"/>
          <w:color w:val="auto"/>
          <w:kern w:val="0"/>
          <w:sz w:val="21"/>
          <w:szCs w:val="21"/>
          <w:highlight w:val="none"/>
          <w:lang w:val="en-US" w:eastAsia="zh-CN" w:bidi="ar"/>
        </w:rPr>
        <w:t>编制</w:t>
      </w:r>
      <w:r>
        <w:rPr>
          <w:rFonts w:ascii="Times New Roman" w:hAnsi="Times New Roman" w:eastAsia="仿宋" w:cs="Times New Roman"/>
          <w:color w:val="auto"/>
          <w:kern w:val="0"/>
          <w:sz w:val="21"/>
          <w:szCs w:val="21"/>
          <w:highlight w:val="none"/>
          <w:lang w:val="en-US" w:eastAsia="zh-CN" w:bidi="ar"/>
        </w:rPr>
        <w:t>《</w:t>
      </w:r>
      <w:r>
        <w:rPr>
          <w:rFonts w:hint="eastAsia" w:ascii="Times New Roman" w:hAnsi="Times New Roman" w:eastAsia="仿宋" w:cs="Times New Roman"/>
          <w:color w:val="auto"/>
          <w:kern w:val="0"/>
          <w:sz w:val="21"/>
          <w:szCs w:val="21"/>
          <w:highlight w:val="none"/>
          <w:lang w:val="en-US" w:eastAsia="zh-CN" w:bidi="ar"/>
        </w:rPr>
        <w:t>花牛苹果等级和规格</w:t>
      </w:r>
      <w:r>
        <w:rPr>
          <w:rFonts w:ascii="Times New Roman" w:hAnsi="Times New Roman" w:eastAsia="仿宋" w:cs="Times New Roman"/>
          <w:color w:val="auto"/>
          <w:kern w:val="0"/>
          <w:sz w:val="21"/>
          <w:szCs w:val="21"/>
          <w:highlight w:val="none"/>
          <w:lang w:val="en-US" w:eastAsia="zh-CN" w:bidi="ar"/>
        </w:rPr>
        <w:t>》团体标准。</w:t>
      </w:r>
    </w:p>
    <w:p w14:paraId="1CF484AC">
      <w:pPr>
        <w:widowControl/>
        <w:spacing w:line="300" w:lineRule="auto"/>
        <w:ind w:firstLine="420" w:firstLineChars="200"/>
        <w:jc w:val="both"/>
        <w:rPr>
          <w:rFonts w:ascii="Times New Roman" w:hAnsi="Times New Roman" w:eastAsia="仿宋" w:cs="Times New Roman"/>
          <w:color w:val="auto"/>
          <w:kern w:val="0"/>
          <w:sz w:val="21"/>
          <w:szCs w:val="21"/>
          <w:highlight w:val="none"/>
          <w:lang w:val="en-US" w:eastAsia="zh-CN" w:bidi="ar"/>
        </w:rPr>
      </w:pPr>
      <w:r>
        <w:rPr>
          <w:rFonts w:ascii="Times New Roman" w:hAnsi="Times New Roman" w:eastAsia="仿宋" w:cs="Times New Roman"/>
          <w:color w:val="auto"/>
          <w:kern w:val="0"/>
          <w:sz w:val="21"/>
          <w:szCs w:val="21"/>
          <w:highlight w:val="none"/>
          <w:lang w:val="en-US" w:eastAsia="zh-CN" w:bidi="ar"/>
        </w:rPr>
        <w:t>本标准立足</w:t>
      </w:r>
      <w:r>
        <w:rPr>
          <w:rFonts w:hint="eastAsia" w:ascii="Times New Roman" w:hAnsi="Times New Roman" w:eastAsia="仿宋" w:cs="Times New Roman"/>
          <w:color w:val="auto"/>
          <w:kern w:val="0"/>
          <w:sz w:val="21"/>
          <w:szCs w:val="21"/>
          <w:highlight w:val="none"/>
          <w:lang w:val="en-US" w:eastAsia="zh-CN" w:bidi="ar"/>
        </w:rPr>
        <w:t>花牛</w:t>
      </w:r>
      <w:r>
        <w:rPr>
          <w:rFonts w:ascii="Times New Roman" w:hAnsi="Times New Roman" w:eastAsia="仿宋" w:cs="Times New Roman"/>
          <w:color w:val="auto"/>
          <w:kern w:val="0"/>
          <w:sz w:val="21"/>
          <w:szCs w:val="21"/>
          <w:highlight w:val="none"/>
          <w:lang w:val="en-US" w:eastAsia="zh-CN" w:bidi="ar"/>
        </w:rPr>
        <w:t>生产实际，补齐</w:t>
      </w:r>
      <w:r>
        <w:rPr>
          <w:rFonts w:hint="eastAsia" w:ascii="Times New Roman" w:hAnsi="Times New Roman" w:eastAsia="仿宋" w:cs="Times New Roman"/>
          <w:color w:val="auto"/>
          <w:kern w:val="0"/>
          <w:sz w:val="21"/>
          <w:szCs w:val="21"/>
          <w:highlight w:val="none"/>
          <w:lang w:val="en-US" w:eastAsia="zh-CN" w:bidi="ar"/>
        </w:rPr>
        <w:t>花牛苹果</w:t>
      </w:r>
      <w:r>
        <w:rPr>
          <w:rFonts w:ascii="Times New Roman" w:hAnsi="Times New Roman" w:eastAsia="仿宋" w:cs="Times New Roman"/>
          <w:color w:val="auto"/>
          <w:kern w:val="0"/>
          <w:sz w:val="21"/>
          <w:szCs w:val="21"/>
          <w:highlight w:val="none"/>
          <w:lang w:val="en-US" w:eastAsia="zh-CN" w:bidi="ar"/>
        </w:rPr>
        <w:t>专用分级标准空白，引导产区标准化栽培、精细化分选，推动</w:t>
      </w:r>
      <w:r>
        <w:rPr>
          <w:rFonts w:hint="eastAsia" w:ascii="Times New Roman" w:hAnsi="Times New Roman" w:eastAsia="仿宋" w:cs="Times New Roman"/>
          <w:color w:val="auto"/>
          <w:kern w:val="0"/>
          <w:sz w:val="21"/>
          <w:szCs w:val="21"/>
          <w:highlight w:val="none"/>
          <w:lang w:val="en-US" w:eastAsia="zh-CN" w:bidi="ar"/>
        </w:rPr>
        <w:t>中</w:t>
      </w:r>
      <w:r>
        <w:rPr>
          <w:rFonts w:ascii="Times New Roman" w:hAnsi="Times New Roman" w:eastAsia="仿宋" w:cs="Times New Roman"/>
          <w:color w:val="auto"/>
          <w:kern w:val="0"/>
          <w:sz w:val="21"/>
          <w:szCs w:val="21"/>
          <w:highlight w:val="none"/>
          <w:lang w:val="en-US" w:eastAsia="zh-CN" w:bidi="ar"/>
        </w:rPr>
        <w:t>熟苹果产业提质增效、品牌溢价，助力全国水果优质化落地见效。</w:t>
      </w:r>
    </w:p>
    <w:p w14:paraId="0FF97CA3">
      <w:pPr>
        <w:widowControl/>
        <w:spacing w:before="312" w:beforeLines="100" w:after="312" w:afterLines="100"/>
        <w:ind w:firstLine="420" w:firstLineChars="200"/>
        <w:jc w:val="left"/>
        <w:rPr>
          <w:rFonts w:ascii="Times New Roman" w:hAnsi="Times New Roman" w:eastAsia="楷体" w:cs="Times New Roman"/>
          <w:color w:val="auto"/>
          <w:kern w:val="0"/>
          <w:sz w:val="21"/>
          <w:szCs w:val="21"/>
          <w:highlight w:val="none"/>
          <w:lang w:bidi="ar"/>
        </w:rPr>
      </w:pPr>
      <w:bookmarkStart w:id="1" w:name="heading_2"/>
      <w:r>
        <w:rPr>
          <w:rFonts w:ascii="Times New Roman" w:hAnsi="Times New Roman" w:eastAsia="楷体" w:cs="Times New Roman"/>
          <w:color w:val="auto"/>
          <w:kern w:val="0"/>
          <w:sz w:val="21"/>
          <w:szCs w:val="21"/>
          <w:highlight w:val="none"/>
          <w:lang w:bidi="ar"/>
        </w:rPr>
        <w:t>（二）主要工作过程</w:t>
      </w:r>
      <w:bookmarkEnd w:id="1"/>
    </w:p>
    <w:p w14:paraId="1CFBB5B0">
      <w:pPr>
        <w:spacing w:before="120" w:after="120" w:line="288" w:lineRule="auto"/>
        <w:ind w:left="0" w:firstLine="422" w:firstLineChars="200"/>
        <w:jc w:val="left"/>
        <w:rPr>
          <w:rFonts w:hint="eastAsia" w:ascii="Times New Roman" w:hAnsi="Times New Roman" w:eastAsia="仿宋" w:cs="Times New Roman"/>
          <w:color w:val="auto"/>
          <w:kern w:val="0"/>
          <w:sz w:val="21"/>
          <w:szCs w:val="21"/>
          <w:highlight w:val="none"/>
          <w:lang w:val="en-US" w:eastAsia="zh-CN" w:bidi="ar"/>
        </w:rPr>
      </w:pPr>
      <w:bookmarkStart w:id="2" w:name="heading_3"/>
      <w:r>
        <w:rPr>
          <w:rFonts w:ascii="Times New Roman" w:hAnsi="Times New Roman" w:eastAsia="仿宋" w:cs="Times New Roman"/>
          <w:b/>
          <w:bCs/>
          <w:color w:val="auto"/>
          <w:kern w:val="0"/>
          <w:sz w:val="21"/>
          <w:szCs w:val="21"/>
          <w:highlight w:val="none"/>
          <w:lang w:val="en-US" w:eastAsia="zh-CN" w:bidi="ar"/>
        </w:rPr>
        <w:t>1.起草阶段</w:t>
      </w:r>
      <w:bookmarkEnd w:id="2"/>
    </w:p>
    <w:p w14:paraId="796F49B8">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（1）项目立项后组建起草组：2026年4月收到全国农技中心立项通知后，牵头单位联合</w:t>
      </w:r>
      <w:bookmarkStart w:id="3" w:name="OLE_LINK1"/>
      <w:r>
        <w:rPr>
          <w:rFonts w:hint="eastAsia" w:ascii="Times New Roman" w:hAnsi="Times New Roman" w:eastAsia="仿宋" w:cs="Times New Roman"/>
          <w:color w:val="auto"/>
          <w:kern w:val="0"/>
          <w:sz w:val="21"/>
          <w:szCs w:val="21"/>
          <w:highlight w:val="none"/>
          <w:lang w:val="en-US" w:eastAsia="zh-CN" w:bidi="ar"/>
        </w:rPr>
        <w:t>天水市果树研究所、天水市果业产业化办公室、麦积区果业发展中心</w:t>
      </w:r>
      <w:bookmarkEnd w:id="3"/>
      <w:r>
        <w:rPr>
          <w:rFonts w:hint="eastAsia" w:ascii="Times New Roman" w:hAnsi="Times New Roman" w:eastAsia="仿宋" w:cs="Times New Roman"/>
          <w:color w:val="auto"/>
          <w:kern w:val="0"/>
          <w:sz w:val="21"/>
          <w:szCs w:val="21"/>
          <w:highlight w:val="none"/>
          <w:lang w:val="en-US" w:eastAsia="zh-CN" w:bidi="ar"/>
        </w:rPr>
        <w:t>组建标准起草工作组，明确分工、编制进度计划，梳理标准整体框架。</w:t>
      </w:r>
    </w:p>
    <w:p w14:paraId="47F4751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（2）资料搜集与实地调研：2026年5月，起草组系统查阅GB/T 10651、GB/T 23616、各产区苹果地方标准等国内外现行标准；赴甘肃天水花牛苹果核心产区实地走访果园、贮藏库、分选厂、生鲜批发市场，现场采集不同产区、不同成熟度花牛苹果样品，开展理化指标实测，汇总生产端、收购端、分级痛点数据。</w:t>
      </w:r>
    </w:p>
    <w:p w14:paraId="5604492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2026年6月，编制标准草稿、讨论稿：汇总实测数据与产业调研资料，参照红富士标准编制逻辑，区分花牛苹果果顶五棱突起、果形高桩、色泽浓红、香气浓郁等品种特点，优化感官、理化、规格、容许度指标，组织行业专家、技术员召开一线生产者研讨评审会，逐条修订技术内容，形成标准讨论稿。</w:t>
      </w:r>
    </w:p>
    <w:p w14:paraId="1C9CD891">
      <w:pPr>
        <w:spacing w:before="120" w:after="120" w:line="288" w:lineRule="auto"/>
        <w:ind w:left="0" w:firstLine="422" w:firstLineChars="200"/>
        <w:jc w:val="left"/>
        <w:rPr>
          <w:rFonts w:ascii="Times New Roman" w:hAnsi="Times New Roman" w:eastAsia="仿宋" w:cs="Times New Roman"/>
          <w:b/>
          <w:bCs/>
          <w:color w:val="auto"/>
          <w:kern w:val="0"/>
          <w:sz w:val="21"/>
          <w:szCs w:val="21"/>
          <w:highlight w:val="none"/>
          <w:lang w:val="en-US" w:eastAsia="zh-CN" w:bidi="ar"/>
        </w:rPr>
      </w:pPr>
      <w:bookmarkStart w:id="4" w:name="heading_4"/>
      <w:r>
        <w:rPr>
          <w:rFonts w:ascii="Times New Roman" w:hAnsi="Times New Roman" w:eastAsia="仿宋" w:cs="Times New Roman"/>
          <w:b/>
          <w:bCs/>
          <w:color w:val="auto"/>
          <w:kern w:val="0"/>
          <w:sz w:val="21"/>
          <w:szCs w:val="21"/>
          <w:highlight w:val="none"/>
          <w:lang w:val="en-US" w:eastAsia="zh-CN" w:bidi="ar"/>
        </w:rPr>
        <w:t>2.征求意见阶段</w:t>
      </w:r>
      <w:bookmarkEnd w:id="4"/>
    </w:p>
    <w:p w14:paraId="0881A3B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无。</w:t>
      </w:r>
    </w:p>
    <w:p w14:paraId="39098DD3">
      <w:pPr>
        <w:spacing w:before="120" w:after="120" w:line="288" w:lineRule="auto"/>
        <w:ind w:left="0" w:firstLine="422" w:firstLineChars="200"/>
        <w:jc w:val="left"/>
        <w:rPr>
          <w:rFonts w:hint="eastAsia" w:ascii="黑体" w:hAnsi="黑体" w:eastAsia="黑体" w:cs="黑体"/>
          <w:b/>
          <w:bCs/>
          <w:sz w:val="21"/>
          <w:szCs w:val="21"/>
          <w:lang w:val="en-US" w:eastAsia="zh-CN"/>
        </w:rPr>
      </w:pPr>
      <w:bookmarkStart w:id="5" w:name="heading_5"/>
      <w:r>
        <w:rPr>
          <w:rFonts w:hint="eastAsia" w:ascii="黑体" w:hAnsi="黑体" w:eastAsia="黑体" w:cs="黑体"/>
          <w:b/>
          <w:bCs/>
          <w:sz w:val="21"/>
          <w:szCs w:val="21"/>
          <w:lang w:val="en-US" w:eastAsia="zh-CN"/>
        </w:rPr>
        <w:t>二、标准编制原则和确定主要内容的依据</w:t>
      </w:r>
      <w:bookmarkEnd w:id="5"/>
    </w:p>
    <w:p w14:paraId="4A50299B">
      <w:pPr>
        <w:widowControl/>
        <w:spacing w:before="312" w:beforeLines="100" w:after="312" w:afterLines="100" w:line="240" w:lineRule="auto"/>
        <w:ind w:left="0" w:firstLine="420" w:firstLineChars="200"/>
        <w:jc w:val="left"/>
        <w:rPr>
          <w:rFonts w:ascii="Times New Roman" w:hAnsi="Times New Roman" w:eastAsia="楷体" w:cs="Times New Roman"/>
          <w:b w:val="0"/>
          <w:bCs w:val="0"/>
          <w:color w:val="auto"/>
          <w:kern w:val="0"/>
          <w:sz w:val="21"/>
          <w:szCs w:val="21"/>
          <w:highlight w:val="none"/>
          <w:lang w:val="en-US" w:eastAsia="zh-CN" w:bidi="ar"/>
        </w:rPr>
      </w:pPr>
      <w:bookmarkStart w:id="6" w:name="heading_6"/>
      <w:r>
        <w:rPr>
          <w:rFonts w:ascii="Times New Roman" w:hAnsi="Times New Roman" w:eastAsia="楷体" w:cs="Times New Roman"/>
          <w:b w:val="0"/>
          <w:bCs w:val="0"/>
          <w:color w:val="auto"/>
          <w:kern w:val="0"/>
          <w:sz w:val="21"/>
          <w:szCs w:val="21"/>
          <w:highlight w:val="none"/>
          <w:lang w:val="en-US" w:eastAsia="zh-CN" w:bidi="ar"/>
        </w:rPr>
        <w:t>（一）编制原则</w:t>
      </w:r>
      <w:bookmarkEnd w:id="6"/>
    </w:p>
    <w:p w14:paraId="36C009DA">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1. 先进性原则：对标国内苹果最新标准化技术要求与全国水果优质化政策导向，借鉴静宁红富士成熟分级技术，结合现代光电分选、无损糖度检测等新技术，指标设置优于通用国标，契合果品高端化、精品化发展趋势。</w:t>
      </w:r>
    </w:p>
    <w:p w14:paraId="6C9B05A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2. 适用性原则：立足花牛苹果种植气候、栽培模式差异、品质特点，缺陷判定、检测方法量化具象、通俗易懂，便于基层果农、落地执行，规避通用标准描述模糊、落地难的问题。</w:t>
      </w:r>
    </w:p>
    <w:p w14:paraId="7DC6F75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 品种特色化原则：紧扣独有品种特征，单独定制着色判定规则、果径分级区间、缺陷限值，区别晚熟红富士分级体系。</w:t>
      </w:r>
    </w:p>
    <w:p w14:paraId="247CFAD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4. 创新性原则：细化果形、储运损伤管控指标，优化糖度、酸度现场快速检测方法，适配当前果品商品化分选新业态。</w:t>
      </w:r>
    </w:p>
    <w:p w14:paraId="6DE8026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5. 系统性原则：完整覆盖基础要求、鲜食分级、规格划分、容许度、试验方法、检验、包装储运全链条，与现行食品安全国标、苹果贮藏标准协调统一，形成完整规范体系。</w:t>
      </w:r>
    </w:p>
    <w:p w14:paraId="0541EB15">
      <w:pPr>
        <w:widowControl/>
        <w:spacing w:before="312" w:beforeLines="100" w:after="312" w:afterLines="100" w:line="240" w:lineRule="auto"/>
        <w:ind w:left="0" w:firstLine="420" w:firstLineChars="200"/>
        <w:jc w:val="left"/>
        <w:rPr>
          <w:rFonts w:ascii="Times New Roman" w:hAnsi="Times New Roman" w:eastAsia="楷体" w:cs="Times New Roman"/>
          <w:b w:val="0"/>
          <w:bCs w:val="0"/>
          <w:color w:val="auto"/>
          <w:kern w:val="0"/>
          <w:sz w:val="21"/>
          <w:szCs w:val="21"/>
          <w:highlight w:val="none"/>
          <w:lang w:val="en-US" w:eastAsia="zh-CN" w:bidi="ar"/>
        </w:rPr>
      </w:pPr>
      <w:bookmarkStart w:id="7" w:name="heading_7"/>
      <w:r>
        <w:rPr>
          <w:rFonts w:ascii="Times New Roman" w:hAnsi="Times New Roman" w:eastAsia="楷体" w:cs="Times New Roman"/>
          <w:b w:val="0"/>
          <w:bCs w:val="0"/>
          <w:color w:val="auto"/>
          <w:kern w:val="0"/>
          <w:sz w:val="21"/>
          <w:szCs w:val="21"/>
          <w:highlight w:val="none"/>
          <w:lang w:val="en-US" w:eastAsia="zh-CN" w:bidi="ar"/>
        </w:rPr>
        <w:t>（二）主要内容的依据</w:t>
      </w:r>
      <w:bookmarkEnd w:id="7"/>
    </w:p>
    <w:p w14:paraId="59B592C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8" w:name="_Toc19992"/>
      <w:bookmarkStart w:id="9" w:name="_Toc23181"/>
      <w:bookmarkStart w:id="10" w:name="_Toc16436"/>
      <w:bookmarkStart w:id="11" w:name="_Toc97191423"/>
      <w:r>
        <w:rPr>
          <w:rFonts w:hint="eastAsia" w:ascii="Times New Roman" w:hAnsi="Times New Roman" w:eastAsia="仿宋" w:cs="Times New Roman"/>
          <w:color w:val="auto"/>
          <w:kern w:val="0"/>
          <w:sz w:val="21"/>
          <w:szCs w:val="21"/>
          <w:highlight w:val="none"/>
          <w:lang w:val="en-US" w:eastAsia="zh-CN" w:bidi="ar"/>
        </w:rPr>
        <w:t>1 范围</w:t>
      </w:r>
      <w:bookmarkEnd w:id="8"/>
      <w:bookmarkEnd w:id="9"/>
      <w:bookmarkEnd w:id="10"/>
      <w:bookmarkEnd w:id="11"/>
    </w:p>
    <w:p w14:paraId="7884E22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12" w:name="_Toc25069"/>
      <w:bookmarkStart w:id="13" w:name="_Toc6269"/>
      <w:bookmarkStart w:id="14" w:name="_Toc13647"/>
      <w:bookmarkStart w:id="15" w:name="_Toc97191424"/>
      <w:r>
        <w:rPr>
          <w:rFonts w:hint="eastAsia" w:ascii="Times New Roman" w:hAnsi="Times New Roman" w:eastAsia="仿宋" w:cs="Times New Roman"/>
          <w:color w:val="auto"/>
          <w:kern w:val="0"/>
          <w:sz w:val="21"/>
          <w:szCs w:val="21"/>
          <w:highlight w:val="none"/>
          <w:lang w:val="en-US" w:eastAsia="zh-CN" w:bidi="ar"/>
        </w:rPr>
        <w:t>本文件规定了产品花牛苹果的术语和定义，规定了产地范围、技术要求、检验规则及包装、标识、采收、运输、贮藏的要求，描述了产地环境和相应检验方法。</w:t>
      </w:r>
    </w:p>
    <w:p w14:paraId="66774B9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本文件适用于花牛苹果的生产、加工、流通、检验，亦适用于花牛苹果的保护和管理。</w:t>
      </w:r>
    </w:p>
    <w:p w14:paraId="1E78C7F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2 规范性引用文件</w:t>
      </w:r>
      <w:bookmarkEnd w:id="12"/>
      <w:bookmarkEnd w:id="13"/>
      <w:bookmarkEnd w:id="14"/>
      <w:bookmarkEnd w:id="15"/>
    </w:p>
    <w:sdt>
      <w:sdtPr>
        <w:rPr>
          <w:rFonts w:hint="eastAsia" w:ascii="Times New Roman" w:hAnsi="Times New Roman" w:eastAsia="仿宋" w:cs="Times New Roman"/>
          <w:color w:val="auto"/>
          <w:kern w:val="0"/>
          <w:sz w:val="21"/>
          <w:szCs w:val="21"/>
          <w:highlight w:val="none"/>
          <w:lang w:val="en-US" w:eastAsia="zh-CN" w:bidi="ar"/>
        </w:rPr>
        <w:id w:val="147470192"/>
        <w:placeholder>
          <w:docPart w:val="{7f30a3eb-c847-4690-8476-d3d7a1a257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Times New Roman" w:hAnsi="Times New Roman" w:eastAsia="仿宋" w:cs="Times New Roman"/>
          <w:color w:val="auto"/>
          <w:kern w:val="0"/>
          <w:sz w:val="21"/>
          <w:szCs w:val="21"/>
          <w:highlight w:val="none"/>
          <w:lang w:val="en-US" w:eastAsia="zh-CN" w:bidi="ar"/>
        </w:rPr>
      </w:sdtEndPr>
      <w:sdtContent>
        <w:p w14:paraId="78859EE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E455D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 2761 食品安全国家标准 食品中真菌毒素限量</w:t>
      </w:r>
    </w:p>
    <w:p w14:paraId="29ECF8F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 2762 食品安全国家标准 食品中污染物限量</w:t>
      </w:r>
    </w:p>
    <w:p w14:paraId="37C8AF6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 2763 食品安全国家标准 食品中农药最大残留限量</w:t>
      </w:r>
    </w:p>
    <w:p w14:paraId="419B542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GB/T 5009.38 蔬菜、水果卫生标准的分析方法</w:t>
      </w:r>
    </w:p>
    <w:p w14:paraId="5AA4321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 7718 预包装食品标签通则</w:t>
      </w:r>
    </w:p>
    <w:p w14:paraId="57FDB4D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GB/T 8855 新鲜果蔬取样方法</w:t>
      </w:r>
    </w:p>
    <w:p w14:paraId="280C800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GB/T 10651 鲜苹果</w:t>
      </w:r>
    </w:p>
    <w:p w14:paraId="725534E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GB/T 13607 苹果、柑桔包装</w:t>
      </w:r>
    </w:p>
    <w:p w14:paraId="4FDB0FB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NY/T 391 绿色食品 产地环境质量</w:t>
      </w:r>
    </w:p>
    <w:p w14:paraId="149FBC6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NY/T 393 绿色食品 农药使用准则</w:t>
      </w:r>
    </w:p>
    <w:p w14:paraId="2F616A41">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NY/T 394 绿色食品 肥料使用准则</w:t>
      </w:r>
    </w:p>
    <w:p w14:paraId="7BEB794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NY/T 983 苹果采收与贮运技术规范</w:t>
      </w:r>
    </w:p>
    <w:p w14:paraId="144813C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16" w:name="_Toc97191425"/>
      <w:bookmarkStart w:id="17" w:name="_Toc2947"/>
      <w:bookmarkStart w:id="18" w:name="_Toc4655"/>
      <w:bookmarkStart w:id="19" w:name="_Toc18758"/>
      <w:r>
        <w:rPr>
          <w:rFonts w:hint="eastAsia" w:ascii="Times New Roman" w:hAnsi="Times New Roman" w:eastAsia="仿宋" w:cs="Times New Roman"/>
          <w:color w:val="auto"/>
          <w:kern w:val="0"/>
          <w:sz w:val="21"/>
          <w:szCs w:val="21"/>
          <w:highlight w:val="none"/>
          <w:lang w:val="en-US" w:eastAsia="zh-CN" w:bidi="ar"/>
        </w:rPr>
        <w:t>3 术语和定义</w:t>
      </w:r>
      <w:bookmarkEnd w:id="16"/>
      <w:bookmarkEnd w:id="17"/>
      <w:bookmarkEnd w:id="18"/>
      <w:bookmarkEnd w:id="19"/>
    </w:p>
    <w:sdt>
      <w:sdtPr>
        <w:rPr>
          <w:rFonts w:hint="eastAsia" w:ascii="Times New Roman" w:hAnsi="Times New Roman" w:eastAsia="仿宋" w:cs="Times New Roman"/>
          <w:color w:val="auto"/>
          <w:kern w:val="0"/>
          <w:sz w:val="21"/>
          <w:szCs w:val="21"/>
          <w:highlight w:val="none"/>
          <w:lang w:val="en-US" w:eastAsia="zh-CN" w:bidi="ar"/>
        </w:rPr>
        <w:id w:val="147475488"/>
        <w:placeholder>
          <w:docPart w:val="{3f78d3be-eeba-4bb7-ad08-f21a4ace0f78}"/>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Times New Roman" w:hAnsi="Times New Roman" w:eastAsia="仿宋" w:cs="Times New Roman"/>
          <w:color w:val="auto"/>
          <w:kern w:val="0"/>
          <w:sz w:val="21"/>
          <w:szCs w:val="21"/>
          <w:highlight w:val="none"/>
          <w:lang w:val="en-US" w:eastAsia="zh-CN" w:bidi="ar"/>
        </w:rPr>
      </w:sdtEndPr>
      <w:sdtContent>
        <w:p w14:paraId="4780419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下列术语和定义适用于本文件。</w:t>
          </w:r>
        </w:p>
      </w:sdtContent>
    </w:sdt>
    <w:p w14:paraId="2C53F19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3.1花牛苹果  ‘Huaniu’Apple</w:t>
      </w:r>
    </w:p>
    <w:p w14:paraId="434D3B1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花牛苹果指天水市地域内生产的元帅系苹果。</w:t>
      </w:r>
    </w:p>
    <w:p w14:paraId="3E577F5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3.2果形  fruit form</w:t>
      </w:r>
    </w:p>
    <w:p w14:paraId="2CCA270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果实形状。</w:t>
      </w:r>
    </w:p>
    <w:p w14:paraId="501082C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3.3果形指数  fruit shape index</w:t>
      </w:r>
    </w:p>
    <w:p w14:paraId="7514B83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果实纵径与横径的比值。</w:t>
      </w:r>
    </w:p>
    <w:p w14:paraId="2A094AA5">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3.3.1横径  fruit equatorial diameter</w:t>
      </w:r>
    </w:p>
    <w:p w14:paraId="4D8A7BD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果实最大横切面的直径。</w:t>
      </w:r>
    </w:p>
    <w:p w14:paraId="7998D114">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3.3.2纵径  fruit longitudinal diameter</w:t>
      </w:r>
    </w:p>
    <w:p w14:paraId="1E0C8828">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果实顶部至果蒂的直线距离。</w:t>
      </w:r>
    </w:p>
    <w:p w14:paraId="0E90F55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3.4果实发育期  fruit development period</w:t>
      </w:r>
    </w:p>
    <w:p w14:paraId="3CE1C4C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指盛花后果实发育的天数，可作为果实成熟的标志。花牛苹果的发育天数应为135天～155天。</w:t>
      </w:r>
    </w:p>
    <w:p w14:paraId="6216480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3.5成熟  mature</w:t>
      </w:r>
    </w:p>
    <w:p w14:paraId="02D5F23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果实完成生长发育阶段，体现出果实的色泽、风味等固有基本特征。</w:t>
      </w:r>
    </w:p>
    <w:p w14:paraId="51340AE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3.6成熟度  maturity</w:t>
      </w:r>
    </w:p>
    <w:p w14:paraId="6C9A2E7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花牛苹果果实成熟的不同程度。一般可分为可采成熟度、食用成熟度、生理成熟度。</w:t>
      </w:r>
    </w:p>
    <w:p w14:paraId="3260350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3.7可采成熟度  harvest maturity</w:t>
      </w:r>
    </w:p>
    <w:p w14:paraId="37FA02A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已完成了生长和化学物质的积累，果实体积不再增大且已经达到最佳贮运阶段但未达到最佳食用阶段，该阶段呈现品种应有的色、香、味、形等主要特征，果肉由硬变脆，适于采后中期和长期贮藏及长途运输。</w:t>
      </w:r>
    </w:p>
    <w:p w14:paraId="48714DB4">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3.8食用成熟度  catable maturity</w:t>
      </w:r>
    </w:p>
    <w:p w14:paraId="7E2000B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果实已具备该品种固有的色泽、芳香和风味，营养价值较高并达到适合食用的阶段，适于采后销售、短期贮藏和运输。</w:t>
      </w:r>
    </w:p>
    <w:p w14:paraId="782F2A5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3.9生理成熟度  physiological maturity</w:t>
      </w:r>
    </w:p>
    <w:p w14:paraId="7FD63E9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果实在生理上已充分成熟的阶段，果肉开始变绵变软，商品价值已明显降低，不适宜作贮藏运输的阶段。</w:t>
      </w:r>
    </w:p>
    <w:p w14:paraId="52E5B02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3.10果面缺陷  superficial defects</w:t>
      </w:r>
    </w:p>
    <w:p w14:paraId="121B6A6A">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由于自然因素或人为机械的作用，如：雹伤、裂纹、日灼、虫伤、病果、果锈、刺伤、碰压伤、磨伤等对果实表面造成的各项损伤。</w:t>
      </w:r>
    </w:p>
    <w:p w14:paraId="401E264A">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20" w:name="_Toc28212"/>
      <w:bookmarkStart w:id="21" w:name="_Toc22157"/>
      <w:bookmarkStart w:id="22" w:name="_Toc15754"/>
      <w:bookmarkStart w:id="23" w:name="_Toc30763"/>
      <w:r>
        <w:rPr>
          <w:rFonts w:hint="eastAsia" w:ascii="Times New Roman" w:hAnsi="Times New Roman" w:eastAsia="仿宋" w:cs="Times New Roman"/>
          <w:color w:val="auto"/>
          <w:kern w:val="0"/>
          <w:sz w:val="21"/>
          <w:szCs w:val="21"/>
          <w:highlight w:val="none"/>
          <w:lang w:val="en-US" w:eastAsia="zh-CN" w:bidi="ar"/>
        </w:rPr>
        <w:t>4 产地范围</w:t>
      </w:r>
      <w:bookmarkEnd w:id="20"/>
      <w:bookmarkEnd w:id="21"/>
      <w:bookmarkEnd w:id="22"/>
      <w:bookmarkEnd w:id="23"/>
    </w:p>
    <w:p w14:paraId="23E2F1A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花牛苹果为地理标志产品，产地范围限定于国务院知识产权行政管理部门发布的地理标志产品认定公告中的产地范围，即甘肃省天水市63个乡镇。地理坐标：东经104°35′～106°44′，北纬34°05′～35°10′。‌</w:t>
      </w:r>
    </w:p>
    <w:p w14:paraId="5028A2D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24" w:name="_Toc7473"/>
      <w:bookmarkStart w:id="25" w:name="_Toc20774"/>
      <w:bookmarkStart w:id="26" w:name="_Toc15285"/>
      <w:r>
        <w:rPr>
          <w:rFonts w:hint="eastAsia" w:ascii="Times New Roman" w:hAnsi="Times New Roman" w:eastAsia="仿宋" w:cs="Times New Roman"/>
          <w:color w:val="auto"/>
          <w:kern w:val="0"/>
          <w:sz w:val="21"/>
          <w:szCs w:val="21"/>
          <w:highlight w:val="none"/>
          <w:lang w:val="en-US" w:eastAsia="zh-CN" w:bidi="ar"/>
        </w:rPr>
        <w:t>5 质量要求</w:t>
      </w:r>
      <w:bookmarkEnd w:id="24"/>
      <w:bookmarkEnd w:id="25"/>
      <w:bookmarkEnd w:id="26"/>
    </w:p>
    <w:p w14:paraId="62AEE9C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27" w:name="_Toc18308"/>
      <w:r>
        <w:rPr>
          <w:rFonts w:hint="eastAsia" w:ascii="Times New Roman" w:hAnsi="Times New Roman" w:eastAsia="仿宋" w:cs="Times New Roman"/>
          <w:color w:val="auto"/>
          <w:kern w:val="0"/>
          <w:sz w:val="21"/>
          <w:szCs w:val="21"/>
          <w:highlight w:val="none"/>
          <w:lang w:val="en-US" w:eastAsia="zh-CN" w:bidi="ar"/>
        </w:rPr>
        <w:t>5.1基本要求</w:t>
      </w:r>
      <w:bookmarkEnd w:id="27"/>
    </w:p>
    <w:p w14:paraId="002A315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果实保持完整良好、新鲜洁净，无异味或非正常风味，无不正常的外来水分、虫害及病害，充分发育，具有本品种固有的特征和风味、香味，具有适于市场或贮藏要求的成熟度。所有等级苹果均需满足基本要求。</w:t>
      </w:r>
    </w:p>
    <w:p w14:paraId="124F850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28" w:name="_Toc32125"/>
      <w:r>
        <w:rPr>
          <w:rFonts w:hint="eastAsia" w:ascii="Times New Roman" w:hAnsi="Times New Roman" w:eastAsia="仿宋" w:cs="Times New Roman"/>
          <w:color w:val="auto"/>
          <w:kern w:val="0"/>
          <w:sz w:val="21"/>
          <w:szCs w:val="21"/>
          <w:highlight w:val="none"/>
          <w:lang w:val="en-US" w:eastAsia="zh-CN" w:bidi="ar"/>
        </w:rPr>
        <w:t>5.2外观等级要求</w:t>
      </w:r>
      <w:bookmarkEnd w:id="28"/>
    </w:p>
    <w:p w14:paraId="2E7D05FA">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花牛苹果外观等级指标应符合表1的规定。</w:t>
      </w:r>
    </w:p>
    <w:p w14:paraId="0938813D">
      <w:pPr>
        <w:numPr>
          <w:ilvl w:val="0"/>
          <w:numId w:val="1"/>
        </w:numPr>
        <w:tabs>
          <w:tab w:val="left" w:pos="0"/>
        </w:tabs>
        <w:spacing w:before="120" w:beforeLines="50" w:after="120" w:afterLines="50"/>
        <w:jc w:val="center"/>
        <w:rPr>
          <w:rFonts w:ascii="黑体" w:hAnsi="Times New Roman" w:eastAsia="黑体" w:cs="Times New Roman"/>
          <w:sz w:val="21"/>
          <w:lang w:val="en-US" w:eastAsia="zh-CN" w:bidi="ar-SA"/>
        </w:rPr>
      </w:pPr>
      <w:r>
        <w:rPr>
          <w:rFonts w:hint="eastAsia" w:ascii="黑体" w:hAnsi="Times New Roman" w:eastAsia="黑体" w:cs="Times New Roman"/>
          <w:color w:val="000000"/>
          <w:sz w:val="21"/>
          <w:lang w:val="en-US" w:eastAsia="zh-CN" w:bidi="ar-SA"/>
        </w:rPr>
        <w:t>花牛苹果</w:t>
      </w:r>
      <w:r>
        <w:rPr>
          <w:rFonts w:hint="eastAsia" w:ascii="黑体" w:hAnsi="黑体" w:eastAsia="黑体" w:cs="黑体"/>
          <w:color w:val="000000"/>
          <w:sz w:val="21"/>
          <w:szCs w:val="21"/>
          <w:lang w:val="en-US" w:eastAsia="zh-CN" w:bidi="ar-SA"/>
        </w:rPr>
        <w:t>外观等级指标</w:t>
      </w:r>
    </w:p>
    <w:tbl>
      <w:tblPr>
        <w:tblStyle w:val="3"/>
        <w:tblW w:w="92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780"/>
        <w:gridCol w:w="1129"/>
        <w:gridCol w:w="2183"/>
        <w:gridCol w:w="1786"/>
        <w:gridCol w:w="3322"/>
      </w:tblGrid>
      <w:tr w14:paraId="2C861A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522" w:hRule="atLeast"/>
          <w:tblHeader/>
          <w:jc w:val="center"/>
        </w:trPr>
        <w:tc>
          <w:tcPr>
            <w:tcW w:w="1909" w:type="dxa"/>
            <w:gridSpan w:val="2"/>
            <w:tcBorders>
              <w:bottom w:val="single" w:color="auto" w:sz="8" w:space="0"/>
            </w:tcBorders>
            <w:vAlign w:val="center"/>
          </w:tcPr>
          <w:p w14:paraId="5C48D0A6">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等级</w:t>
            </w:r>
          </w:p>
        </w:tc>
        <w:tc>
          <w:tcPr>
            <w:tcW w:w="2183" w:type="dxa"/>
            <w:tcBorders>
              <w:bottom w:val="single" w:color="auto" w:sz="8" w:space="0"/>
            </w:tcBorders>
            <w:vAlign w:val="center"/>
          </w:tcPr>
          <w:p w14:paraId="5052302C">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特级</w:t>
            </w:r>
          </w:p>
        </w:tc>
        <w:tc>
          <w:tcPr>
            <w:tcW w:w="1786" w:type="dxa"/>
            <w:tcBorders>
              <w:bottom w:val="single" w:color="auto" w:sz="8" w:space="0"/>
            </w:tcBorders>
            <w:vAlign w:val="center"/>
          </w:tcPr>
          <w:p w14:paraId="18929020">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一级</w:t>
            </w:r>
          </w:p>
        </w:tc>
        <w:tc>
          <w:tcPr>
            <w:tcW w:w="3322" w:type="dxa"/>
            <w:tcBorders>
              <w:bottom w:val="single" w:color="auto" w:sz="8" w:space="0"/>
            </w:tcBorders>
            <w:vAlign w:val="center"/>
          </w:tcPr>
          <w:p w14:paraId="2CFE5705">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二级</w:t>
            </w:r>
          </w:p>
        </w:tc>
      </w:tr>
      <w:tr w14:paraId="1BB3D4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1909" w:type="dxa"/>
            <w:gridSpan w:val="2"/>
            <w:tcBorders>
              <w:top w:val="single" w:color="auto" w:sz="8" w:space="0"/>
            </w:tcBorders>
            <w:vAlign w:val="center"/>
          </w:tcPr>
          <w:p w14:paraId="3AE975A8">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成熟度</w:t>
            </w:r>
          </w:p>
        </w:tc>
        <w:tc>
          <w:tcPr>
            <w:tcW w:w="7291" w:type="dxa"/>
            <w:gridSpan w:val="3"/>
            <w:tcBorders>
              <w:top w:val="single" w:color="auto" w:sz="8" w:space="0"/>
            </w:tcBorders>
            <w:vAlign w:val="center"/>
          </w:tcPr>
          <w:p w14:paraId="7F0520CE">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高于可采成熟度，低于生理成熟度或果实发育期135天至155天之间</w:t>
            </w:r>
          </w:p>
        </w:tc>
      </w:tr>
      <w:tr w14:paraId="4FD0EF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681" w:hRule="atLeast"/>
          <w:jc w:val="center"/>
        </w:trPr>
        <w:tc>
          <w:tcPr>
            <w:tcW w:w="1909" w:type="dxa"/>
            <w:gridSpan w:val="2"/>
            <w:vAlign w:val="center"/>
          </w:tcPr>
          <w:p w14:paraId="4D309BAE">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果形</w:t>
            </w:r>
          </w:p>
        </w:tc>
        <w:tc>
          <w:tcPr>
            <w:tcW w:w="2183" w:type="dxa"/>
          </w:tcPr>
          <w:p w14:paraId="29DAFCEE">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具有本品种固有的特征，</w:t>
            </w:r>
            <w:r>
              <w:rPr>
                <w:rFonts w:hint="eastAsia" w:ascii="Times New Roman" w:hAnsi="Times New Roman" w:eastAsia="宋体" w:cs="Times New Roman"/>
                <w:color w:val="000000"/>
                <w:spacing w:val="-6"/>
                <w:sz w:val="18"/>
                <w:szCs w:val="18"/>
                <w:lang w:val="en-US" w:eastAsia="zh-CN" w:bidi="ar-SA"/>
              </w:rPr>
              <w:t>果实圆锥形，果顶五棱突起</w:t>
            </w:r>
          </w:p>
        </w:tc>
        <w:tc>
          <w:tcPr>
            <w:tcW w:w="1786" w:type="dxa"/>
          </w:tcPr>
          <w:p w14:paraId="12F8FC08">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允许果形有轻微缺点</w:t>
            </w:r>
          </w:p>
        </w:tc>
        <w:tc>
          <w:tcPr>
            <w:tcW w:w="3322" w:type="dxa"/>
          </w:tcPr>
          <w:p w14:paraId="57100EFE">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允许果形有缺点，但仍保持本品种果实的基本特征，不得有畸形果</w:t>
            </w:r>
          </w:p>
        </w:tc>
      </w:tr>
      <w:tr w14:paraId="64448D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69" w:hRule="atLeast"/>
          <w:jc w:val="center"/>
        </w:trPr>
        <w:tc>
          <w:tcPr>
            <w:tcW w:w="1909" w:type="dxa"/>
            <w:gridSpan w:val="2"/>
            <w:vAlign w:val="center"/>
          </w:tcPr>
          <w:p w14:paraId="09EB2CFF">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果形指数</w:t>
            </w:r>
          </w:p>
        </w:tc>
        <w:tc>
          <w:tcPr>
            <w:tcW w:w="7291" w:type="dxa"/>
            <w:gridSpan w:val="3"/>
            <w:vAlign w:val="center"/>
          </w:tcPr>
          <w:p w14:paraId="1AF351A6">
            <w:pPr>
              <w:autoSpaceDE w:val="0"/>
              <w:autoSpaceDN w:val="0"/>
              <w:ind w:firstLine="0" w:firstLineChars="0"/>
              <w:jc w:val="center"/>
              <w:rPr>
                <w:rFonts w:hint="default"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21"/>
                <w:lang w:val="en-US" w:eastAsia="zh-CN" w:bidi="ar-SA"/>
              </w:rPr>
              <w:t>≥</w:t>
            </w:r>
            <w:r>
              <w:rPr>
                <w:rFonts w:hint="eastAsia" w:ascii="Times New Roman" w:hAnsi="Times New Roman" w:eastAsia="宋体" w:cs="Times New Roman"/>
                <w:color w:val="000000"/>
                <w:sz w:val="18"/>
                <w:szCs w:val="18"/>
                <w:lang w:val="en-US" w:eastAsia="zh-CN" w:bidi="ar-SA"/>
              </w:rPr>
              <w:t>0.90</w:t>
            </w:r>
          </w:p>
        </w:tc>
      </w:tr>
      <w:tr w14:paraId="70A8F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69" w:hRule="atLeast"/>
          <w:jc w:val="center"/>
        </w:trPr>
        <w:tc>
          <w:tcPr>
            <w:tcW w:w="1909" w:type="dxa"/>
            <w:gridSpan w:val="2"/>
            <w:vAlign w:val="center"/>
          </w:tcPr>
          <w:p w14:paraId="298EE8C5">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果实大小（按果实横径划分，mm）</w:t>
            </w:r>
          </w:p>
        </w:tc>
        <w:tc>
          <w:tcPr>
            <w:tcW w:w="7291" w:type="dxa"/>
            <w:gridSpan w:val="3"/>
            <w:vAlign w:val="center"/>
          </w:tcPr>
          <w:p w14:paraId="57E4D5F8">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21"/>
                <w:lang w:val="en-US" w:eastAsia="zh-CN" w:bidi="ar-SA"/>
              </w:rPr>
              <w:t>≥70</w:t>
            </w:r>
          </w:p>
        </w:tc>
      </w:tr>
      <w:tr w14:paraId="7FF232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1909" w:type="dxa"/>
            <w:gridSpan w:val="2"/>
            <w:vAlign w:val="center"/>
          </w:tcPr>
          <w:p w14:paraId="0AF265AE">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果梗</w:t>
            </w:r>
          </w:p>
        </w:tc>
        <w:tc>
          <w:tcPr>
            <w:tcW w:w="2183" w:type="dxa"/>
            <w:vAlign w:val="center"/>
          </w:tcPr>
          <w:p w14:paraId="3941C2C2">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完整（商品化处理统一减除的除外）</w:t>
            </w:r>
          </w:p>
        </w:tc>
        <w:tc>
          <w:tcPr>
            <w:tcW w:w="1786" w:type="dxa"/>
            <w:vAlign w:val="center"/>
          </w:tcPr>
          <w:p w14:paraId="6240C206">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允许轻微损伤（商品化处理统一减除的除外）</w:t>
            </w:r>
          </w:p>
        </w:tc>
        <w:tc>
          <w:tcPr>
            <w:tcW w:w="3322" w:type="dxa"/>
            <w:vAlign w:val="center"/>
          </w:tcPr>
          <w:p w14:paraId="12AAB85B">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允许损伤，但仍有果梗</w:t>
            </w:r>
          </w:p>
        </w:tc>
      </w:tr>
      <w:tr w14:paraId="794D7D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18" w:hRule="atLeast"/>
          <w:jc w:val="center"/>
        </w:trPr>
        <w:tc>
          <w:tcPr>
            <w:tcW w:w="780" w:type="dxa"/>
            <w:vMerge w:val="restart"/>
            <w:textDirection w:val="tbRlV"/>
            <w:vAlign w:val="center"/>
          </w:tcPr>
          <w:p w14:paraId="1FB73A90">
            <w:pPr>
              <w:autoSpaceDE w:val="0"/>
              <w:autoSpaceDN w:val="0"/>
              <w:ind w:left="113" w:right="113"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果面缺陷</w:t>
            </w:r>
          </w:p>
        </w:tc>
        <w:tc>
          <w:tcPr>
            <w:tcW w:w="1129" w:type="dxa"/>
            <w:vAlign w:val="center"/>
          </w:tcPr>
          <w:p w14:paraId="64DFF305">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碰压伤</w:t>
            </w:r>
          </w:p>
        </w:tc>
        <w:tc>
          <w:tcPr>
            <w:tcW w:w="2183" w:type="dxa"/>
            <w:vAlign w:val="center"/>
          </w:tcPr>
          <w:p w14:paraId="586B139D">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7499133C">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669E2489">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color w:val="auto"/>
                <w:sz w:val="18"/>
              </w:rPr>
              <w:t>总面积不超过1 cm</w:t>
            </w:r>
            <w:r>
              <w:rPr>
                <w:rFonts w:hint="eastAsia" w:ascii="Times New Roman" w:hAnsi="Times New Roman"/>
                <w:color w:val="auto"/>
                <w:sz w:val="18"/>
                <w:vertAlign w:val="superscript"/>
              </w:rPr>
              <w:t>2</w:t>
            </w:r>
            <w:r>
              <w:rPr>
                <w:rFonts w:hint="eastAsia" w:ascii="Times New Roman" w:hAnsi="Times New Roman"/>
                <w:color w:val="auto"/>
                <w:sz w:val="18"/>
              </w:rPr>
              <w:t>，伤处不应褐变</w:t>
            </w:r>
          </w:p>
        </w:tc>
      </w:tr>
      <w:tr w14:paraId="3593A8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71" w:hRule="atLeast"/>
          <w:jc w:val="center"/>
        </w:trPr>
        <w:tc>
          <w:tcPr>
            <w:tcW w:w="780" w:type="dxa"/>
            <w:vMerge w:val="continue"/>
            <w:vAlign w:val="center"/>
          </w:tcPr>
          <w:p w14:paraId="236802B9">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19371ECF">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刺伤</w:t>
            </w:r>
          </w:p>
        </w:tc>
        <w:tc>
          <w:tcPr>
            <w:tcW w:w="2183" w:type="dxa"/>
            <w:vAlign w:val="center"/>
          </w:tcPr>
          <w:p w14:paraId="217983F5">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2FEC4D5F">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4894A7C7">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color w:val="auto"/>
                <w:sz w:val="18"/>
                <w:szCs w:val="18"/>
              </w:rPr>
              <w:t>总面积不超过</w:t>
            </w:r>
            <w:r>
              <w:rPr>
                <w:rFonts w:ascii="Times New Roman" w:hAnsi="Times New Roman"/>
                <w:color w:val="auto"/>
                <w:sz w:val="18"/>
                <w:szCs w:val="18"/>
              </w:rPr>
              <w:t xml:space="preserve">0.5 </w:t>
            </w:r>
            <w:r>
              <w:rPr>
                <w:rFonts w:hint="eastAsia" w:ascii="Times New Roman" w:hAnsi="Times New Roman"/>
                <w:color w:val="auto"/>
                <w:sz w:val="18"/>
                <w:szCs w:val="18"/>
              </w:rPr>
              <w:t>cm</w:t>
            </w:r>
            <w:r>
              <w:rPr>
                <w:rFonts w:hint="eastAsia" w:ascii="Times New Roman" w:hAnsi="Times New Roman"/>
                <w:color w:val="auto"/>
                <w:sz w:val="18"/>
                <w:szCs w:val="18"/>
                <w:vertAlign w:val="superscript"/>
              </w:rPr>
              <w:t>2</w:t>
            </w:r>
            <w:r>
              <w:rPr>
                <w:rFonts w:hint="eastAsia" w:ascii="Times New Roman" w:hAnsi="Times New Roman"/>
                <w:color w:val="auto"/>
                <w:sz w:val="18"/>
                <w:szCs w:val="18"/>
              </w:rPr>
              <w:t>，伤处不应褐变</w:t>
            </w:r>
          </w:p>
        </w:tc>
      </w:tr>
      <w:tr w14:paraId="5D98AA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780" w:type="dxa"/>
            <w:vMerge w:val="continue"/>
            <w:vAlign w:val="center"/>
          </w:tcPr>
          <w:p w14:paraId="677C3BD0">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104ED175">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磨伤（枝磨，叶磨）</w:t>
            </w:r>
          </w:p>
        </w:tc>
        <w:tc>
          <w:tcPr>
            <w:tcW w:w="2183" w:type="dxa"/>
            <w:vAlign w:val="center"/>
          </w:tcPr>
          <w:p w14:paraId="393AC399">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6A816F68">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6E5231D8">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color w:val="auto"/>
                <w:sz w:val="18"/>
                <w:szCs w:val="18"/>
              </w:rPr>
              <w:t>总面积不超过1 cm</w:t>
            </w:r>
            <w:r>
              <w:rPr>
                <w:rFonts w:hint="eastAsia" w:ascii="Times New Roman" w:hAnsi="Times New Roman"/>
                <w:color w:val="auto"/>
                <w:sz w:val="18"/>
                <w:szCs w:val="18"/>
                <w:vertAlign w:val="superscript"/>
              </w:rPr>
              <w:t>2</w:t>
            </w:r>
            <w:r>
              <w:rPr>
                <w:rFonts w:hint="eastAsia" w:ascii="Times New Roman" w:hAnsi="Times New Roman"/>
                <w:color w:val="auto"/>
                <w:sz w:val="18"/>
                <w:szCs w:val="18"/>
              </w:rPr>
              <w:t>，伤处不应褐变</w:t>
            </w:r>
          </w:p>
        </w:tc>
      </w:tr>
      <w:tr w14:paraId="2D4D3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86" w:hRule="atLeast"/>
          <w:jc w:val="center"/>
        </w:trPr>
        <w:tc>
          <w:tcPr>
            <w:tcW w:w="780" w:type="dxa"/>
            <w:vMerge w:val="continue"/>
            <w:vAlign w:val="center"/>
          </w:tcPr>
          <w:p w14:paraId="3196BD7D">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4B26E34B">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雹伤</w:t>
            </w:r>
          </w:p>
        </w:tc>
        <w:tc>
          <w:tcPr>
            <w:tcW w:w="2183" w:type="dxa"/>
            <w:vAlign w:val="center"/>
          </w:tcPr>
          <w:p w14:paraId="6B84C2AD">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37D8FBDE">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0655971D">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color w:val="auto"/>
                <w:sz w:val="18"/>
                <w:szCs w:val="18"/>
              </w:rPr>
              <w:t>允许果皮愈合良好的轻微雹伤，总面积不超过1</w:t>
            </w:r>
            <w:r>
              <w:rPr>
                <w:rFonts w:ascii="Times New Roman" w:hAnsi="Times New Roman"/>
                <w:color w:val="auto"/>
                <w:sz w:val="18"/>
                <w:szCs w:val="18"/>
              </w:rPr>
              <w:t xml:space="preserve"> cm</w:t>
            </w:r>
            <w:r>
              <w:rPr>
                <w:rFonts w:ascii="Times New Roman" w:hAnsi="Times New Roman"/>
                <w:color w:val="auto"/>
                <w:sz w:val="18"/>
                <w:szCs w:val="18"/>
                <w:vertAlign w:val="superscript"/>
              </w:rPr>
              <w:t>2</w:t>
            </w:r>
          </w:p>
        </w:tc>
      </w:tr>
      <w:tr w14:paraId="5FFBE0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10" w:hRule="atLeast"/>
          <w:jc w:val="center"/>
        </w:trPr>
        <w:tc>
          <w:tcPr>
            <w:tcW w:w="780" w:type="dxa"/>
            <w:vMerge w:val="continue"/>
            <w:vAlign w:val="center"/>
          </w:tcPr>
          <w:p w14:paraId="35C92A0B">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2F92C0D7">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日灼</w:t>
            </w:r>
          </w:p>
        </w:tc>
        <w:tc>
          <w:tcPr>
            <w:tcW w:w="2183" w:type="dxa"/>
            <w:vAlign w:val="center"/>
          </w:tcPr>
          <w:p w14:paraId="7A24D9B7">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37AD7AE1">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018AB90E">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color w:val="auto"/>
                <w:sz w:val="18"/>
                <w:szCs w:val="18"/>
              </w:rPr>
              <w:t>允许浅褐色或褐色，面积不超过1</w:t>
            </w:r>
            <w:r>
              <w:rPr>
                <w:rFonts w:ascii="Times New Roman" w:hAnsi="Times New Roman"/>
                <w:color w:val="auto"/>
                <w:sz w:val="18"/>
                <w:szCs w:val="18"/>
              </w:rPr>
              <w:t xml:space="preserve"> cm</w:t>
            </w:r>
            <w:r>
              <w:rPr>
                <w:rFonts w:ascii="Times New Roman" w:hAnsi="Times New Roman"/>
                <w:color w:val="auto"/>
                <w:sz w:val="18"/>
                <w:szCs w:val="18"/>
                <w:vertAlign w:val="superscript"/>
              </w:rPr>
              <w:t>2</w:t>
            </w:r>
          </w:p>
        </w:tc>
      </w:tr>
      <w:tr w14:paraId="4C6DE7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46" w:hRule="atLeast"/>
          <w:jc w:val="center"/>
        </w:trPr>
        <w:tc>
          <w:tcPr>
            <w:tcW w:w="780" w:type="dxa"/>
            <w:vMerge w:val="continue"/>
            <w:vAlign w:val="center"/>
          </w:tcPr>
          <w:p w14:paraId="03E3ED71">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2C7102E4">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果锈</w:t>
            </w:r>
          </w:p>
        </w:tc>
        <w:tc>
          <w:tcPr>
            <w:tcW w:w="2183" w:type="dxa"/>
            <w:vAlign w:val="center"/>
          </w:tcPr>
          <w:p w14:paraId="22431117">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shd w:val="clear" w:color="auto" w:fill="auto"/>
            <w:vAlign w:val="center"/>
          </w:tcPr>
          <w:p w14:paraId="6AEE753F">
            <w:pPr>
              <w:spacing w:line="240" w:lineRule="auto"/>
              <w:jc w:val="center"/>
              <w:rPr>
                <w:rFonts w:ascii="Times New Roman" w:hAnsi="Times New Roman" w:eastAsiaTheme="minorEastAsia" w:cstheme="minorBidi"/>
                <w:color w:val="auto"/>
                <w:sz w:val="18"/>
                <w:szCs w:val="22"/>
                <w:lang w:val="en-US" w:eastAsia="zh-CN"/>
              </w:rPr>
            </w:pPr>
            <w:r>
              <w:rPr>
                <w:rFonts w:hint="eastAsia" w:ascii="Times New Roman" w:hAnsi="Times New Roman"/>
                <w:color w:val="auto"/>
                <w:sz w:val="18"/>
                <w:szCs w:val="18"/>
              </w:rPr>
              <w:t>允许不超出梗洼的轻微锈斑</w:t>
            </w:r>
          </w:p>
        </w:tc>
        <w:tc>
          <w:tcPr>
            <w:tcW w:w="3322" w:type="dxa"/>
            <w:shd w:val="clear" w:color="auto" w:fill="auto"/>
            <w:vAlign w:val="center"/>
          </w:tcPr>
          <w:p w14:paraId="1754B0E5">
            <w:pPr>
              <w:spacing w:line="240" w:lineRule="auto"/>
              <w:jc w:val="center"/>
              <w:rPr>
                <w:rFonts w:ascii="Times New Roman" w:hAnsi="Times New Roman" w:eastAsiaTheme="minorEastAsia" w:cstheme="minorBidi"/>
                <w:color w:val="auto"/>
                <w:sz w:val="18"/>
                <w:szCs w:val="22"/>
                <w:lang w:val="en-US" w:eastAsia="zh-CN"/>
              </w:rPr>
            </w:pPr>
            <w:r>
              <w:rPr>
                <w:rFonts w:hint="eastAsia" w:ascii="Times New Roman" w:hAnsi="Times New Roman"/>
                <w:color w:val="auto"/>
                <w:sz w:val="18"/>
                <w:szCs w:val="18"/>
              </w:rPr>
              <w:t>允许有轻微超出梗洼或萼洼的锈斑</w:t>
            </w:r>
          </w:p>
        </w:tc>
      </w:tr>
      <w:tr w14:paraId="64FEF6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780" w:type="dxa"/>
            <w:vMerge w:val="continue"/>
            <w:vAlign w:val="center"/>
          </w:tcPr>
          <w:p w14:paraId="6CA7A51E">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7AD6D4B0">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裂纹</w:t>
            </w:r>
          </w:p>
        </w:tc>
        <w:tc>
          <w:tcPr>
            <w:tcW w:w="2183" w:type="dxa"/>
            <w:vAlign w:val="center"/>
          </w:tcPr>
          <w:p w14:paraId="50C6E7E8">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shd w:val="clear" w:color="auto" w:fill="auto"/>
            <w:vAlign w:val="center"/>
          </w:tcPr>
          <w:p w14:paraId="34DF2535">
            <w:pPr>
              <w:spacing w:line="240" w:lineRule="auto"/>
              <w:jc w:val="center"/>
              <w:rPr>
                <w:rFonts w:ascii="Times New Roman" w:hAnsi="Times New Roman" w:eastAsiaTheme="minorEastAsia" w:cstheme="minorBidi"/>
                <w:color w:val="auto"/>
                <w:sz w:val="18"/>
                <w:szCs w:val="22"/>
                <w:lang w:val="en-US" w:eastAsia="zh-CN"/>
              </w:rPr>
            </w:pPr>
            <w:r>
              <w:rPr>
                <w:rFonts w:hint="eastAsia" w:ascii="Times New Roman" w:hAnsi="Times New Roman"/>
                <w:color w:val="auto"/>
                <w:sz w:val="18"/>
                <w:szCs w:val="18"/>
              </w:rPr>
              <w:t>允许梗洼或萼洼内有微小裂纹</w:t>
            </w:r>
          </w:p>
        </w:tc>
        <w:tc>
          <w:tcPr>
            <w:tcW w:w="3322" w:type="dxa"/>
            <w:shd w:val="clear" w:color="auto" w:fill="auto"/>
            <w:vAlign w:val="center"/>
          </w:tcPr>
          <w:p w14:paraId="7251F3DD">
            <w:pPr>
              <w:spacing w:line="240" w:lineRule="auto"/>
              <w:jc w:val="center"/>
              <w:rPr>
                <w:rFonts w:ascii="Times New Roman" w:hAnsi="Times New Roman" w:eastAsiaTheme="minorEastAsia" w:cstheme="minorBidi"/>
                <w:color w:val="auto"/>
                <w:sz w:val="18"/>
                <w:szCs w:val="22"/>
                <w:lang w:val="en-US" w:eastAsia="zh-CN"/>
              </w:rPr>
            </w:pPr>
            <w:r>
              <w:rPr>
                <w:rFonts w:hint="eastAsia" w:ascii="Times New Roman" w:hAnsi="Times New Roman"/>
                <w:color w:val="auto"/>
                <w:sz w:val="18"/>
                <w:szCs w:val="18"/>
              </w:rPr>
              <w:t>允许有不超出梗洼或萼洼的微小裂纹</w:t>
            </w:r>
          </w:p>
        </w:tc>
      </w:tr>
      <w:tr w14:paraId="18858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780" w:type="dxa"/>
            <w:vMerge w:val="continue"/>
            <w:vAlign w:val="center"/>
          </w:tcPr>
          <w:p w14:paraId="49BEFA60">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5EC901B7">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虫伤</w:t>
            </w:r>
          </w:p>
        </w:tc>
        <w:tc>
          <w:tcPr>
            <w:tcW w:w="2183" w:type="dxa"/>
            <w:vAlign w:val="center"/>
          </w:tcPr>
          <w:p w14:paraId="711C3EDB">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282B1126">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2596D69D">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r>
      <w:tr w14:paraId="147D3C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780" w:type="dxa"/>
            <w:vMerge w:val="continue"/>
            <w:vAlign w:val="center"/>
          </w:tcPr>
          <w:p w14:paraId="085A63F9">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06C43370">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病害</w:t>
            </w:r>
          </w:p>
        </w:tc>
        <w:tc>
          <w:tcPr>
            <w:tcW w:w="2183" w:type="dxa"/>
            <w:vAlign w:val="center"/>
          </w:tcPr>
          <w:p w14:paraId="59905025">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45451E7E">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c>
          <w:tcPr>
            <w:tcW w:w="3322" w:type="dxa"/>
            <w:vAlign w:val="center"/>
          </w:tcPr>
          <w:p w14:paraId="00FE3B10">
            <w:pPr>
              <w:adjustRightInd w:val="0"/>
              <w:spacing w:line="240" w:lineRule="auto"/>
              <w:jc w:val="center"/>
              <w:rPr>
                <w:rFonts w:ascii="Times New Roman" w:hAnsi="Times New Roman" w:eastAsia="宋体" w:cs="Times New Roman"/>
                <w:color w:val="auto"/>
                <w:kern w:val="2"/>
                <w:sz w:val="18"/>
                <w:szCs w:val="21"/>
                <w:lang w:val="en-US" w:eastAsia="zh-CN" w:bidi="ar-SA"/>
              </w:rPr>
            </w:pPr>
            <w:r>
              <w:rPr>
                <w:rFonts w:hint="eastAsia" w:ascii="Times New Roman" w:hAnsi="Times New Roman" w:eastAsia="宋体" w:cs="Times New Roman"/>
                <w:color w:val="auto"/>
                <w:kern w:val="2"/>
                <w:sz w:val="18"/>
                <w:szCs w:val="18"/>
                <w:lang w:val="en-US" w:eastAsia="zh-CN" w:bidi="ar-SA"/>
              </w:rPr>
              <w:t>不允许</w:t>
            </w:r>
          </w:p>
        </w:tc>
      </w:tr>
      <w:tr w14:paraId="627B44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780" w:type="dxa"/>
            <w:vMerge w:val="continue"/>
            <w:vAlign w:val="center"/>
          </w:tcPr>
          <w:p w14:paraId="14355974">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16754295">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其他小疵点</w:t>
            </w:r>
          </w:p>
        </w:tc>
        <w:tc>
          <w:tcPr>
            <w:tcW w:w="2183" w:type="dxa"/>
            <w:vAlign w:val="center"/>
          </w:tcPr>
          <w:p w14:paraId="65875AD0">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不允许</w:t>
            </w:r>
          </w:p>
        </w:tc>
        <w:tc>
          <w:tcPr>
            <w:tcW w:w="1786" w:type="dxa"/>
            <w:vAlign w:val="center"/>
          </w:tcPr>
          <w:p w14:paraId="7304D831">
            <w:pPr>
              <w:adjustRightInd w:val="0"/>
              <w:spacing w:line="240" w:lineRule="auto"/>
              <w:jc w:val="center"/>
              <w:rPr>
                <w:rFonts w:hint="default"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不超过3个</w:t>
            </w:r>
          </w:p>
        </w:tc>
        <w:tc>
          <w:tcPr>
            <w:tcW w:w="3322" w:type="dxa"/>
            <w:vAlign w:val="center"/>
          </w:tcPr>
          <w:p w14:paraId="0B3CD2AB">
            <w:pPr>
              <w:adjustRightInd w:val="0"/>
              <w:spacing w:line="240" w:lineRule="auto"/>
              <w:jc w:val="center"/>
              <w:rPr>
                <w:rFonts w:hint="default"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不超过5个</w:t>
            </w:r>
          </w:p>
        </w:tc>
      </w:tr>
      <w:tr w14:paraId="4A8557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391" w:hRule="atLeast"/>
          <w:jc w:val="center"/>
        </w:trPr>
        <w:tc>
          <w:tcPr>
            <w:tcW w:w="780" w:type="dxa"/>
            <w:vMerge w:val="restart"/>
            <w:vAlign w:val="center"/>
          </w:tcPr>
          <w:p w14:paraId="4D8ED709">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color w:val="000000"/>
                <w:sz w:val="18"/>
                <w:szCs w:val="18"/>
                <w:lang w:val="en-US" w:eastAsia="zh-CN" w:bidi="ar-SA"/>
              </w:rPr>
              <w:t>质量容许度（%）</w:t>
            </w:r>
          </w:p>
        </w:tc>
        <w:tc>
          <w:tcPr>
            <w:tcW w:w="1129" w:type="dxa"/>
            <w:vAlign w:val="center"/>
          </w:tcPr>
          <w:p w14:paraId="2A88F67E">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产地验收</w:t>
            </w:r>
          </w:p>
        </w:tc>
        <w:tc>
          <w:tcPr>
            <w:tcW w:w="2183" w:type="dxa"/>
            <w:vAlign w:val="center"/>
          </w:tcPr>
          <w:p w14:paraId="18CC88DB">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≤3</w:t>
            </w:r>
          </w:p>
        </w:tc>
        <w:tc>
          <w:tcPr>
            <w:tcW w:w="1786" w:type="dxa"/>
            <w:vAlign w:val="center"/>
          </w:tcPr>
          <w:p w14:paraId="7E231EE4">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≤5</w:t>
            </w:r>
          </w:p>
        </w:tc>
        <w:tc>
          <w:tcPr>
            <w:tcW w:w="3322" w:type="dxa"/>
            <w:vAlign w:val="center"/>
          </w:tcPr>
          <w:p w14:paraId="0998B7C9">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≤8</w:t>
            </w:r>
          </w:p>
        </w:tc>
      </w:tr>
      <w:tr w14:paraId="005666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707" w:hRule="atLeast"/>
          <w:jc w:val="center"/>
        </w:trPr>
        <w:tc>
          <w:tcPr>
            <w:tcW w:w="780" w:type="dxa"/>
            <w:vMerge w:val="continue"/>
            <w:vAlign w:val="center"/>
          </w:tcPr>
          <w:p w14:paraId="2912D0F1">
            <w:pPr>
              <w:autoSpaceDE w:val="0"/>
              <w:autoSpaceDN w:val="0"/>
              <w:ind w:firstLine="0" w:firstLineChars="0"/>
              <w:jc w:val="center"/>
              <w:rPr>
                <w:rFonts w:ascii="Times New Roman" w:hAnsi="Times New Roman" w:eastAsia="宋体" w:cs="Times New Roman"/>
                <w:sz w:val="18"/>
                <w:lang w:val="en-US" w:eastAsia="zh-CN" w:bidi="ar-SA"/>
              </w:rPr>
            </w:pPr>
          </w:p>
        </w:tc>
        <w:tc>
          <w:tcPr>
            <w:tcW w:w="1129" w:type="dxa"/>
            <w:vAlign w:val="center"/>
          </w:tcPr>
          <w:p w14:paraId="65052927">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起运地至港站验收</w:t>
            </w:r>
          </w:p>
        </w:tc>
        <w:tc>
          <w:tcPr>
            <w:tcW w:w="2183" w:type="dxa"/>
            <w:vAlign w:val="center"/>
          </w:tcPr>
          <w:p w14:paraId="39E9B6CC">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≤5</w:t>
            </w:r>
          </w:p>
        </w:tc>
        <w:tc>
          <w:tcPr>
            <w:tcW w:w="1786" w:type="dxa"/>
            <w:vAlign w:val="center"/>
          </w:tcPr>
          <w:p w14:paraId="220DF0EF">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≤8</w:t>
            </w:r>
          </w:p>
        </w:tc>
        <w:tc>
          <w:tcPr>
            <w:tcW w:w="3322" w:type="dxa"/>
            <w:vAlign w:val="center"/>
          </w:tcPr>
          <w:p w14:paraId="043E3569">
            <w:pPr>
              <w:adjustRightInd w:val="0"/>
              <w:spacing w:line="240" w:lineRule="auto"/>
              <w:jc w:val="center"/>
              <w:rPr>
                <w:rFonts w:ascii="Times New Roman" w:hAnsi="Times New Roman" w:eastAsia="宋体" w:cs="Times New Roman"/>
                <w:kern w:val="2"/>
                <w:sz w:val="18"/>
                <w:szCs w:val="21"/>
                <w:lang w:val="en-US" w:eastAsia="zh-CN" w:bidi="ar-SA"/>
              </w:rPr>
            </w:pPr>
            <w:r>
              <w:rPr>
                <w:rFonts w:hint="eastAsia" w:ascii="Times New Roman" w:hAnsi="Times New Roman" w:eastAsia="宋体" w:cs="Times New Roman"/>
                <w:color w:val="000000"/>
                <w:kern w:val="2"/>
                <w:sz w:val="18"/>
                <w:szCs w:val="18"/>
                <w:lang w:val="en-US" w:eastAsia="zh-CN" w:bidi="ar-SA"/>
              </w:rPr>
              <w:t>≤10</w:t>
            </w:r>
          </w:p>
        </w:tc>
      </w:tr>
    </w:tbl>
    <w:p w14:paraId="79365CE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29" w:name="_Toc26682"/>
      <w:bookmarkStart w:id="30" w:name="_Toc23025"/>
      <w:bookmarkStart w:id="31" w:name="_Toc31320"/>
      <w:r>
        <w:rPr>
          <w:rFonts w:hint="eastAsia" w:ascii="Times New Roman" w:hAnsi="Times New Roman" w:eastAsia="仿宋" w:cs="Times New Roman"/>
          <w:color w:val="auto"/>
          <w:kern w:val="0"/>
          <w:sz w:val="21"/>
          <w:szCs w:val="21"/>
          <w:highlight w:val="none"/>
          <w:lang w:val="en-US" w:eastAsia="zh-CN" w:bidi="ar"/>
        </w:rPr>
        <w:t>5.3感官特色</w:t>
      </w:r>
    </w:p>
    <w:p w14:paraId="714BA842">
      <w:pPr>
        <w:numPr>
          <w:ilvl w:val="0"/>
          <w:numId w:val="1"/>
        </w:numPr>
        <w:tabs>
          <w:tab w:val="left" w:pos="0"/>
        </w:tabs>
        <w:spacing w:before="120" w:beforeLines="50" w:after="120" w:afterLines="50"/>
        <w:jc w:val="center"/>
        <w:rPr>
          <w:rFonts w:ascii="黑体" w:hAnsi="Times New Roman" w:eastAsia="黑体" w:cs="Times New Roman"/>
          <w:sz w:val="21"/>
          <w:lang w:val="en-US" w:eastAsia="zh-CN" w:bidi="ar-SA"/>
        </w:rPr>
      </w:pPr>
      <w:r>
        <w:rPr>
          <w:rFonts w:hint="eastAsia" w:ascii="黑体" w:hAnsi="Times New Roman" w:eastAsia="黑体" w:cs="Times New Roman"/>
          <w:color w:val="000000"/>
          <w:sz w:val="21"/>
          <w:lang w:val="en-US" w:eastAsia="zh-CN" w:bidi="ar-SA"/>
        </w:rPr>
        <w:t>花牛苹果</w:t>
      </w:r>
      <w:r>
        <w:rPr>
          <w:rFonts w:hint="eastAsia" w:ascii="黑体" w:hAnsi="黑体" w:eastAsia="黑体" w:cs="黑体"/>
          <w:color w:val="000000"/>
          <w:sz w:val="21"/>
          <w:szCs w:val="21"/>
          <w:lang w:val="en-US" w:eastAsia="zh-CN" w:bidi="ar-SA"/>
        </w:rPr>
        <w:t>感官特色要求</w:t>
      </w: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0" w:type="dxa"/>
          <w:bottom w:w="0" w:type="dxa"/>
          <w:right w:w="100" w:type="dxa"/>
        </w:tblCellMar>
      </w:tblPr>
      <w:tblGrid>
        <w:gridCol w:w="2519"/>
        <w:gridCol w:w="6325"/>
      </w:tblGrid>
      <w:tr w14:paraId="46CC4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tcBorders>
              <w:top w:val="single" w:color="auto" w:sz="8" w:space="0"/>
            </w:tcBorders>
            <w:vAlign w:val="center"/>
          </w:tcPr>
          <w:p w14:paraId="2014A21B">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项目</w:t>
            </w:r>
          </w:p>
        </w:tc>
        <w:tc>
          <w:tcPr>
            <w:tcW w:w="6325" w:type="dxa"/>
            <w:tcBorders>
              <w:top w:val="single" w:color="auto" w:sz="8" w:space="0"/>
            </w:tcBorders>
            <w:vAlign w:val="center"/>
          </w:tcPr>
          <w:p w14:paraId="7A636D72">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要求</w:t>
            </w:r>
          </w:p>
        </w:tc>
      </w:tr>
      <w:tr w14:paraId="64BB54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6EB56737">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果型</w:t>
            </w:r>
          </w:p>
        </w:tc>
        <w:tc>
          <w:tcPr>
            <w:tcW w:w="6325" w:type="dxa"/>
            <w:vAlign w:val="center"/>
          </w:tcPr>
          <w:p w14:paraId="4AA923B4">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果实圆锥形，果顶五棱突起</w:t>
            </w:r>
          </w:p>
        </w:tc>
      </w:tr>
      <w:tr w14:paraId="320CEB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1FBCAA72">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色泽</w:t>
            </w:r>
          </w:p>
        </w:tc>
        <w:tc>
          <w:tcPr>
            <w:tcW w:w="6325" w:type="dxa"/>
            <w:vAlign w:val="center"/>
          </w:tcPr>
          <w:p w14:paraId="4EEE6A15">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具有花牛苹果成熟时应具有的色泽，浓红或鲜红</w:t>
            </w:r>
            <w:r>
              <w:rPr>
                <w:rFonts w:hint="eastAsia" w:ascii="Calibri" w:hAnsi="Calibri" w:eastAsia="宋体" w:cs="Times New Roman"/>
                <w:color w:val="000000"/>
                <w:kern w:val="2"/>
                <w:sz w:val="18"/>
                <w:szCs w:val="18"/>
                <w:lang w:val="en-US" w:eastAsia="zh-CN" w:bidi="ar-SA"/>
              </w:rPr>
              <w:t>，果实着色度≥90%</w:t>
            </w:r>
          </w:p>
        </w:tc>
      </w:tr>
      <w:tr w14:paraId="25A754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2D7DB891">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气味</w:t>
            </w:r>
          </w:p>
        </w:tc>
        <w:tc>
          <w:tcPr>
            <w:tcW w:w="6325" w:type="dxa"/>
            <w:vAlign w:val="center"/>
          </w:tcPr>
          <w:p w14:paraId="4102B9CD">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具有浓郁的果香</w:t>
            </w:r>
          </w:p>
        </w:tc>
      </w:tr>
      <w:tr w14:paraId="593F4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688C5445">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口感</w:t>
            </w:r>
          </w:p>
        </w:tc>
        <w:tc>
          <w:tcPr>
            <w:tcW w:w="6325" w:type="dxa"/>
            <w:vAlign w:val="center"/>
          </w:tcPr>
          <w:p w14:paraId="19F632A5">
            <w:pPr>
              <w:adjustRightInd w:val="0"/>
              <w:spacing w:line="240" w:lineRule="auto"/>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果实刚采收后7天内，果肉甜脆、汁液充足；在常温下放置7天以上，果肉自然软化、口感粉糯绵软、香味浓郁。</w:t>
            </w:r>
          </w:p>
        </w:tc>
      </w:tr>
    </w:tbl>
    <w:p w14:paraId="766FE99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5.4理化指标要求</w:t>
      </w:r>
      <w:bookmarkEnd w:id="29"/>
      <w:bookmarkEnd w:id="30"/>
      <w:bookmarkEnd w:id="31"/>
    </w:p>
    <w:p w14:paraId="4404BBD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花牛苹果理化指标要求应符合表3规定。</w:t>
      </w:r>
    </w:p>
    <w:p w14:paraId="5E07B7DC">
      <w:pPr>
        <w:numPr>
          <w:ilvl w:val="0"/>
          <w:numId w:val="1"/>
        </w:numPr>
        <w:tabs>
          <w:tab w:val="left" w:pos="0"/>
        </w:tabs>
        <w:spacing w:before="120" w:beforeLines="50" w:after="120" w:afterLines="50"/>
        <w:jc w:val="center"/>
        <w:rPr>
          <w:rFonts w:ascii="黑体" w:hAnsi="Times New Roman" w:eastAsia="黑体" w:cs="Times New Roman"/>
          <w:sz w:val="21"/>
          <w:lang w:val="en-US" w:eastAsia="zh-CN" w:bidi="ar-SA"/>
        </w:rPr>
      </w:pPr>
      <w:r>
        <w:rPr>
          <w:rFonts w:hint="eastAsia" w:ascii="黑体" w:hAnsi="Times New Roman" w:eastAsia="黑体" w:cs="Times New Roman"/>
          <w:color w:val="000000"/>
          <w:sz w:val="21"/>
          <w:lang w:val="en-US" w:eastAsia="zh-CN" w:bidi="ar-SA"/>
        </w:rPr>
        <w:t>花牛苹果理化指标要求</w:t>
      </w:r>
    </w:p>
    <w:tbl>
      <w:tblPr>
        <w:tblStyle w:val="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0" w:type="dxa"/>
          <w:bottom w:w="0" w:type="dxa"/>
          <w:right w:w="100" w:type="dxa"/>
        </w:tblCellMar>
      </w:tblPr>
      <w:tblGrid>
        <w:gridCol w:w="2519"/>
        <w:gridCol w:w="6325"/>
      </w:tblGrid>
      <w:tr w14:paraId="4D07A8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tcBorders>
              <w:top w:val="single" w:color="auto" w:sz="8" w:space="0"/>
            </w:tcBorders>
            <w:vAlign w:val="center"/>
          </w:tcPr>
          <w:p w14:paraId="50614726">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项目</w:t>
            </w:r>
          </w:p>
        </w:tc>
        <w:tc>
          <w:tcPr>
            <w:tcW w:w="6325" w:type="dxa"/>
            <w:tcBorders>
              <w:top w:val="single" w:color="auto" w:sz="8" w:space="0"/>
            </w:tcBorders>
            <w:vAlign w:val="center"/>
          </w:tcPr>
          <w:p w14:paraId="1EDE6192">
            <w:pPr>
              <w:autoSpaceDE w:val="0"/>
              <w:autoSpaceDN w:val="0"/>
              <w:ind w:firstLine="0" w:firstLineChars="0"/>
              <w:jc w:val="center"/>
              <w:rPr>
                <w:rFonts w:ascii="Times New Roman" w:hAnsi="Times New Roman" w:eastAsia="宋体" w:cs="Times New Roman"/>
                <w:sz w:val="18"/>
                <w:lang w:val="en-US" w:eastAsia="zh-CN" w:bidi="ar-SA"/>
              </w:rPr>
            </w:pPr>
            <w:r>
              <w:rPr>
                <w:rFonts w:hint="eastAsia" w:ascii="Times New Roman" w:hAnsi="Times New Roman" w:eastAsia="宋体" w:cs="Times New Roman"/>
                <w:sz w:val="18"/>
                <w:lang w:val="en-US" w:eastAsia="zh-CN" w:bidi="ar-SA"/>
              </w:rPr>
              <w:t>指标</w:t>
            </w:r>
          </w:p>
        </w:tc>
      </w:tr>
      <w:tr w14:paraId="1F613F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671965E1">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去皮</w:t>
            </w:r>
            <w:r>
              <w:rPr>
                <w:rFonts w:hint="eastAsia" w:ascii="Times New Roman" w:hAnsi="Times New Roman" w:eastAsia="宋体" w:cs="Times New Roman"/>
                <w:color w:val="000000"/>
                <w:kern w:val="2"/>
                <w:sz w:val="18"/>
                <w:szCs w:val="18"/>
                <w:lang w:val="en-US" w:eastAsia="zh-CN" w:bidi="ar-SA"/>
              </w:rPr>
              <w:t>硬度（</w:t>
            </w:r>
            <w:r>
              <w:rPr>
                <w:rFonts w:hint="eastAsia" w:ascii="Times New Roman" w:hAnsi="Times New Roman" w:eastAsia="宋体" w:cs="Times New Roman"/>
                <w:color w:val="000000"/>
                <w:kern w:val="2"/>
                <w:sz w:val="18"/>
                <w:szCs w:val="21"/>
                <w:lang w:val="en-US" w:eastAsia="zh-CN" w:bidi="ar-SA"/>
              </w:rPr>
              <w:t>kg/cm</w:t>
            </w:r>
            <w:r>
              <w:rPr>
                <w:rFonts w:hint="eastAsia" w:ascii="Times New Roman" w:hAnsi="Times New Roman" w:eastAsia="宋体" w:cs="Times New Roman"/>
                <w:color w:val="000000"/>
                <w:kern w:val="2"/>
                <w:sz w:val="18"/>
                <w:szCs w:val="21"/>
                <w:vertAlign w:val="superscript"/>
                <w:lang w:val="en-US" w:eastAsia="zh-CN" w:bidi="ar-SA"/>
              </w:rPr>
              <w:t>2</w:t>
            </w:r>
            <w:r>
              <w:rPr>
                <w:rFonts w:hint="eastAsia" w:ascii="Times New Roman" w:hAnsi="Times New Roman" w:eastAsia="宋体" w:cs="Times New Roman"/>
                <w:color w:val="000000"/>
                <w:kern w:val="2"/>
                <w:sz w:val="18"/>
                <w:szCs w:val="18"/>
                <w:lang w:val="en-US" w:eastAsia="zh-CN" w:bidi="ar-SA"/>
              </w:rPr>
              <w:t>）</w:t>
            </w:r>
          </w:p>
        </w:tc>
        <w:tc>
          <w:tcPr>
            <w:tcW w:w="6325" w:type="dxa"/>
            <w:vAlign w:val="center"/>
          </w:tcPr>
          <w:p w14:paraId="22A5D14C">
            <w:pPr>
              <w:adjustRightInd w:val="0"/>
              <w:spacing w:line="240" w:lineRule="auto"/>
              <w:jc w:val="center"/>
              <w:rPr>
                <w:rFonts w:ascii="Calibri" w:hAnsi="Calibri" w:eastAsia="宋体" w:cs="Times New Roman"/>
                <w:kern w:val="2"/>
                <w:szCs w:val="21"/>
                <w:lang w:val="en-US" w:eastAsia="zh-CN" w:bidi="ar-SA"/>
              </w:rPr>
            </w:pPr>
            <w:r>
              <w:rPr>
                <w:rFonts w:hint="eastAsia" w:ascii="Times New Roman" w:hAnsi="Times New Roman" w:eastAsia="宋体" w:cs="Times New Roman"/>
                <w:color w:val="000000"/>
                <w:kern w:val="2"/>
                <w:sz w:val="18"/>
                <w:szCs w:val="21"/>
                <w:lang w:val="en-US" w:eastAsia="zh-CN" w:bidi="ar-SA"/>
              </w:rPr>
              <w:t>≥6.5</w:t>
            </w:r>
          </w:p>
        </w:tc>
      </w:tr>
      <w:tr w14:paraId="4C487C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675D132F">
            <w:pPr>
              <w:adjustRightInd w:val="0"/>
              <w:spacing w:line="240" w:lineRule="auto"/>
              <w:jc w:val="center"/>
              <w:rPr>
                <w:rFonts w:ascii="Times New Roman" w:hAnsi="Times New Roman" w:eastAsia="宋体" w:cs="Times New Roman"/>
                <w:color w:val="000000"/>
                <w:kern w:val="2"/>
                <w:sz w:val="18"/>
                <w:szCs w:val="18"/>
                <w:lang w:val="en-US" w:eastAsia="zh-CN" w:bidi="ar-SA"/>
              </w:rPr>
            </w:pPr>
            <w:bookmarkStart w:id="32" w:name="_Toc30125"/>
            <w:bookmarkStart w:id="33" w:name="_Toc17102"/>
            <w:bookmarkStart w:id="34" w:name="_Toc391"/>
            <w:r>
              <w:rPr>
                <w:rFonts w:hint="eastAsia" w:ascii="Times New Roman" w:hAnsi="Times New Roman" w:eastAsia="宋体" w:cs="Times New Roman"/>
                <w:color w:val="000000"/>
                <w:kern w:val="2"/>
                <w:sz w:val="18"/>
                <w:szCs w:val="18"/>
                <w:lang w:val="en-US" w:eastAsia="zh-CN" w:bidi="ar-SA"/>
              </w:rPr>
              <w:t>可溶性固形物（%）</w:t>
            </w:r>
          </w:p>
        </w:tc>
        <w:tc>
          <w:tcPr>
            <w:tcW w:w="6325" w:type="dxa"/>
            <w:vAlign w:val="center"/>
          </w:tcPr>
          <w:p w14:paraId="1D59C0C1">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≥12.5</w:t>
            </w:r>
          </w:p>
        </w:tc>
      </w:tr>
      <w:tr w14:paraId="7337B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3B70FBD2">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可滴定酸（%）</w:t>
            </w:r>
          </w:p>
        </w:tc>
        <w:tc>
          <w:tcPr>
            <w:tcW w:w="6325" w:type="dxa"/>
            <w:vAlign w:val="center"/>
          </w:tcPr>
          <w:p w14:paraId="4FC4F85E">
            <w:pPr>
              <w:adjustRightInd w:val="0"/>
              <w:spacing w:line="240" w:lineRule="auto"/>
              <w:jc w:val="center"/>
              <w:rPr>
                <w:rFonts w:hint="default"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≥0.2，且≤0.</w:t>
            </w:r>
            <w:r>
              <w:rPr>
                <w:rFonts w:hint="eastAsia" w:ascii="Calibri" w:hAnsi="Calibri" w:eastAsia="宋体" w:cs="Times New Roman"/>
                <w:color w:val="000000"/>
                <w:kern w:val="2"/>
                <w:sz w:val="18"/>
                <w:szCs w:val="21"/>
                <w:lang w:val="en-US" w:eastAsia="zh-CN" w:bidi="ar-SA"/>
              </w:rPr>
              <w:t>35</w:t>
            </w:r>
          </w:p>
        </w:tc>
      </w:tr>
      <w:tr w14:paraId="3E6957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rHeight w:val="462" w:hRule="atLeast"/>
          <w:jc w:val="center"/>
        </w:trPr>
        <w:tc>
          <w:tcPr>
            <w:tcW w:w="2519" w:type="dxa"/>
            <w:vAlign w:val="center"/>
          </w:tcPr>
          <w:p w14:paraId="179506C9">
            <w:pPr>
              <w:adjustRightInd w:val="0"/>
              <w:spacing w:line="240" w:lineRule="auto"/>
              <w:jc w:val="center"/>
              <w:rPr>
                <w:rFonts w:ascii="Times New Roman" w:hAnsi="Times New Roman" w:eastAsia="宋体" w:cs="Times New Roman"/>
                <w:color w:val="000000"/>
                <w:kern w:val="2"/>
                <w:sz w:val="18"/>
                <w:szCs w:val="18"/>
                <w:lang w:val="en-US" w:eastAsia="zh-CN" w:bidi="ar-SA"/>
              </w:rPr>
            </w:pPr>
            <w:r>
              <w:rPr>
                <w:rFonts w:hint="eastAsia" w:ascii="Times New Roman" w:hAnsi="Times New Roman" w:eastAsia="宋体" w:cs="Times New Roman"/>
                <w:color w:val="000000"/>
                <w:kern w:val="2"/>
                <w:sz w:val="18"/>
                <w:szCs w:val="18"/>
                <w:lang w:val="en-US" w:eastAsia="zh-CN" w:bidi="ar-SA"/>
              </w:rPr>
              <w:t>固酸比</w:t>
            </w:r>
          </w:p>
        </w:tc>
        <w:tc>
          <w:tcPr>
            <w:tcW w:w="6325" w:type="dxa"/>
            <w:vAlign w:val="center"/>
          </w:tcPr>
          <w:p w14:paraId="396DDEDD">
            <w:pPr>
              <w:adjustRightInd w:val="0"/>
              <w:spacing w:line="240" w:lineRule="auto"/>
              <w:jc w:val="center"/>
              <w:rPr>
                <w:rFonts w:ascii="Times New Roman" w:hAnsi="Times New Roman" w:eastAsia="宋体" w:cs="Times New Roman"/>
                <w:color w:val="000000"/>
                <w:kern w:val="2"/>
                <w:sz w:val="18"/>
                <w:szCs w:val="21"/>
                <w:lang w:val="en-US" w:eastAsia="zh-CN" w:bidi="ar-SA"/>
              </w:rPr>
            </w:pPr>
            <w:r>
              <w:rPr>
                <w:rFonts w:hint="eastAsia" w:ascii="Times New Roman" w:hAnsi="Times New Roman" w:eastAsia="宋体" w:cs="Times New Roman"/>
                <w:color w:val="000000"/>
                <w:kern w:val="2"/>
                <w:sz w:val="18"/>
                <w:szCs w:val="21"/>
                <w:lang w:val="en-US" w:eastAsia="zh-CN" w:bidi="ar-SA"/>
              </w:rPr>
              <w:t>≥3</w:t>
            </w:r>
            <w:r>
              <w:rPr>
                <w:rFonts w:hint="eastAsia" w:ascii="Times New Roman" w:hAnsi="Times New Roman" w:eastAsia="宋体" w:cs="Times New Roman"/>
                <w:color w:val="auto"/>
                <w:kern w:val="2"/>
                <w:sz w:val="18"/>
                <w:szCs w:val="21"/>
                <w:lang w:val="en-US" w:eastAsia="zh-CN" w:bidi="ar-SA"/>
              </w:rPr>
              <w:t>5</w:t>
            </w:r>
            <w:r>
              <w:rPr>
                <w:rFonts w:hint="eastAsia" w:ascii="宋体" w:hAnsi="宋体"/>
                <w:color w:val="auto"/>
                <w:sz w:val="18"/>
              </w:rPr>
              <w:t>:</w:t>
            </w:r>
            <w:r>
              <w:rPr>
                <w:rFonts w:hint="eastAsia" w:ascii="Times New Roman" w:hAnsi="Times New Roman" w:eastAsia="宋体" w:cs="Times New Roman"/>
                <w:color w:val="000000"/>
                <w:kern w:val="2"/>
                <w:sz w:val="18"/>
                <w:szCs w:val="21"/>
                <w:lang w:val="en-US" w:eastAsia="zh-CN" w:bidi="ar-SA"/>
              </w:rPr>
              <w:t>1</w:t>
            </w:r>
          </w:p>
        </w:tc>
      </w:tr>
    </w:tbl>
    <w:p w14:paraId="029F71B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5.5卫生要求</w:t>
      </w:r>
      <w:bookmarkEnd w:id="32"/>
      <w:bookmarkEnd w:id="33"/>
      <w:bookmarkEnd w:id="34"/>
    </w:p>
    <w:p w14:paraId="760AD46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花牛苹果中农药、重金属等污染物限量卫生指标应符合GB 2762和GB 2763及相关标准的规定。</w:t>
      </w:r>
    </w:p>
    <w:p w14:paraId="584F8088">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35" w:name="_Toc1873"/>
      <w:bookmarkStart w:id="36" w:name="_Toc19103"/>
      <w:bookmarkStart w:id="37" w:name="_Toc8319"/>
      <w:r>
        <w:rPr>
          <w:rFonts w:hint="eastAsia" w:ascii="Times New Roman" w:hAnsi="Times New Roman" w:eastAsia="仿宋" w:cs="Times New Roman"/>
          <w:color w:val="auto"/>
          <w:kern w:val="0"/>
          <w:sz w:val="21"/>
          <w:szCs w:val="21"/>
          <w:highlight w:val="none"/>
          <w:lang w:val="en-US" w:eastAsia="zh-CN" w:bidi="ar"/>
        </w:rPr>
        <w:t>6 容许度要求  permission</w:t>
      </w:r>
    </w:p>
    <w:p w14:paraId="79C3BA7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人为规定的一个低于本等级质量要求的允许限度。</w:t>
      </w:r>
    </w:p>
    <w:p w14:paraId="28238D6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6.1等级容许</w:t>
      </w:r>
    </w:p>
    <w:p w14:paraId="7FF97864">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6.1.1  特级果产地验收允许有不超过5%、起运地至港站验收允许有不超过8%的果实不符合本等级规定的等级要求，但应满足一等果要求。</w:t>
      </w:r>
    </w:p>
    <w:p w14:paraId="5632F9A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6.1.2  一等果产地验收允许有不超过8%、起运地至港站验收允许有不超过10%的果实不符合本等级规定的等级要求，但应满足二等果要求。</w:t>
      </w:r>
    </w:p>
    <w:p w14:paraId="36BFC174">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6.1.3  二等果产地验收允许有不超过10%、起运地至港站验收允许有不超过12%的果实不符合本等级规定的等级要求，但应满足等外果要求。</w:t>
      </w:r>
    </w:p>
    <w:p w14:paraId="1872F2D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6.2规格容许度</w:t>
      </w:r>
    </w:p>
    <w:p w14:paraId="52F66A3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各规格苹果允许有不超过5%的果实低于本规格下限。</w:t>
      </w:r>
    </w:p>
    <w:p w14:paraId="27D862B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7   检验方法</w:t>
      </w:r>
      <w:bookmarkEnd w:id="35"/>
      <w:bookmarkEnd w:id="36"/>
      <w:bookmarkEnd w:id="37"/>
    </w:p>
    <w:p w14:paraId="1C36E61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7.1 检验环境</w:t>
      </w:r>
    </w:p>
    <w:p w14:paraId="646C272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检验工作宜在室内开展，检验场所应光线充足、通风良好，并配备检验所需的设备及器材。</w:t>
      </w:r>
    </w:p>
    <w:p w14:paraId="27A8138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38" w:name="_Toc24835"/>
      <w:bookmarkStart w:id="39" w:name="_Toc32016"/>
      <w:bookmarkStart w:id="40" w:name="_Toc20192"/>
      <w:r>
        <w:rPr>
          <w:rFonts w:hint="eastAsia" w:ascii="Times New Roman" w:hAnsi="Times New Roman" w:eastAsia="仿宋" w:cs="Times New Roman"/>
          <w:color w:val="auto"/>
          <w:kern w:val="0"/>
          <w:sz w:val="21"/>
          <w:szCs w:val="21"/>
          <w:highlight w:val="none"/>
          <w:lang w:val="en-US" w:eastAsia="zh-CN" w:bidi="ar"/>
        </w:rPr>
        <w:t>7.2 等级规格检验</w:t>
      </w:r>
      <w:bookmarkEnd w:id="38"/>
      <w:bookmarkEnd w:id="39"/>
      <w:bookmarkEnd w:id="40"/>
    </w:p>
    <w:p w14:paraId="28C5FA3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按GB/T 10651规定执行。其中果形指数测定，用游标卡尺分别测定果实纵径和横径，纵径和横径的比值即为果形指数，每批测定样品数不得少于30个，求其加权平均值。</w:t>
      </w:r>
    </w:p>
    <w:p w14:paraId="588A5CC4">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41" w:name="_Toc26444"/>
      <w:bookmarkStart w:id="42" w:name="_Toc20973"/>
      <w:bookmarkStart w:id="43" w:name="_Toc29980"/>
      <w:r>
        <w:rPr>
          <w:rFonts w:hint="eastAsia" w:ascii="Times New Roman" w:hAnsi="Times New Roman" w:eastAsia="仿宋" w:cs="Times New Roman"/>
          <w:color w:val="auto"/>
          <w:kern w:val="0"/>
          <w:sz w:val="21"/>
          <w:szCs w:val="21"/>
          <w:highlight w:val="none"/>
          <w:lang w:val="en-US" w:eastAsia="zh-CN" w:bidi="ar"/>
        </w:rPr>
        <w:t>7.3 理化检验</w:t>
      </w:r>
      <w:bookmarkEnd w:id="41"/>
      <w:bookmarkEnd w:id="42"/>
      <w:bookmarkEnd w:id="43"/>
    </w:p>
    <w:p w14:paraId="295C351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去皮硬度、可溶性固形物按GB/T 10651规定执行，可滴定酸测定按附录A规定的方法测定。但果实硬度应使用测头直径为8 mm的果实硬度计测试，以kg/cm2表示测试结果。</w:t>
      </w:r>
    </w:p>
    <w:p w14:paraId="286588D1">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44" w:name="_Toc3764"/>
      <w:bookmarkStart w:id="45" w:name="_Toc11826"/>
      <w:bookmarkStart w:id="46" w:name="_Toc1421"/>
      <w:r>
        <w:rPr>
          <w:rFonts w:hint="eastAsia" w:ascii="Times New Roman" w:hAnsi="Times New Roman" w:eastAsia="仿宋" w:cs="Times New Roman"/>
          <w:color w:val="auto"/>
          <w:kern w:val="0"/>
          <w:sz w:val="21"/>
          <w:szCs w:val="21"/>
          <w:highlight w:val="none"/>
          <w:lang w:val="en-US" w:eastAsia="zh-CN" w:bidi="ar"/>
        </w:rPr>
        <w:t>7.4 卫生检验</w:t>
      </w:r>
      <w:bookmarkEnd w:id="44"/>
      <w:bookmarkEnd w:id="45"/>
      <w:bookmarkEnd w:id="46"/>
    </w:p>
    <w:p w14:paraId="0B60335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按照GB/T 5009.38、GB 2761、GB 2762、GB 2763中相关指标规定的分析方法执行。</w:t>
      </w:r>
    </w:p>
    <w:p w14:paraId="4DD38CE0">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47" w:name="_Toc19769"/>
      <w:bookmarkStart w:id="48" w:name="_Toc15790"/>
      <w:bookmarkStart w:id="49" w:name="_Toc28988"/>
      <w:r>
        <w:rPr>
          <w:rFonts w:hint="eastAsia" w:ascii="Times New Roman" w:hAnsi="Times New Roman" w:eastAsia="仿宋" w:cs="Times New Roman"/>
          <w:color w:val="auto"/>
          <w:kern w:val="0"/>
          <w:sz w:val="21"/>
          <w:szCs w:val="21"/>
          <w:highlight w:val="none"/>
          <w:lang w:val="en-US" w:eastAsia="zh-CN" w:bidi="ar"/>
        </w:rPr>
        <w:t>8  检验规则</w:t>
      </w:r>
      <w:bookmarkEnd w:id="47"/>
      <w:bookmarkEnd w:id="48"/>
      <w:bookmarkEnd w:id="49"/>
    </w:p>
    <w:p w14:paraId="26123F0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50" w:name="_Toc16459"/>
      <w:bookmarkStart w:id="51" w:name="_Toc12774"/>
      <w:bookmarkStart w:id="52" w:name="_Toc32333"/>
      <w:r>
        <w:rPr>
          <w:rFonts w:hint="eastAsia" w:ascii="Times New Roman" w:hAnsi="Times New Roman" w:eastAsia="仿宋" w:cs="Times New Roman"/>
          <w:color w:val="auto"/>
          <w:kern w:val="0"/>
          <w:sz w:val="21"/>
          <w:szCs w:val="21"/>
          <w:highlight w:val="none"/>
          <w:lang w:val="en-US" w:eastAsia="zh-CN" w:bidi="ar"/>
        </w:rPr>
        <w:t>8.1 批次</w:t>
      </w:r>
      <w:bookmarkEnd w:id="50"/>
      <w:bookmarkEnd w:id="51"/>
      <w:bookmarkEnd w:id="52"/>
    </w:p>
    <w:p w14:paraId="3D856DC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同一产地、同一品种、同一采收日期的鲜苹果为一个检验批次。</w:t>
      </w:r>
    </w:p>
    <w:p w14:paraId="3F23173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53" w:name="_Toc916"/>
      <w:bookmarkStart w:id="54" w:name="_Toc19557"/>
      <w:bookmarkStart w:id="55" w:name="_Toc5250"/>
      <w:r>
        <w:rPr>
          <w:rFonts w:hint="eastAsia" w:ascii="Times New Roman" w:hAnsi="Times New Roman" w:eastAsia="仿宋" w:cs="Times New Roman"/>
          <w:color w:val="auto"/>
          <w:kern w:val="0"/>
          <w:sz w:val="21"/>
          <w:szCs w:val="21"/>
          <w:highlight w:val="none"/>
          <w:lang w:val="en-US" w:eastAsia="zh-CN" w:bidi="ar"/>
        </w:rPr>
        <w:t>8.2 抽样方法</w:t>
      </w:r>
      <w:bookmarkEnd w:id="53"/>
      <w:bookmarkEnd w:id="54"/>
      <w:bookmarkEnd w:id="55"/>
    </w:p>
    <w:p w14:paraId="06D72DE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按GB/T 8855的取样方法规定执行。</w:t>
      </w:r>
    </w:p>
    <w:p w14:paraId="64B3235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56" w:name="_Toc20203"/>
      <w:bookmarkStart w:id="57" w:name="_Toc28027"/>
      <w:bookmarkStart w:id="58" w:name="_Toc30997"/>
      <w:r>
        <w:rPr>
          <w:rFonts w:hint="eastAsia" w:ascii="Times New Roman" w:hAnsi="Times New Roman" w:eastAsia="仿宋" w:cs="Times New Roman"/>
          <w:color w:val="auto"/>
          <w:kern w:val="0"/>
          <w:sz w:val="21"/>
          <w:szCs w:val="21"/>
          <w:highlight w:val="none"/>
          <w:lang w:val="en-US" w:eastAsia="zh-CN" w:bidi="ar"/>
        </w:rPr>
        <w:t>8.3 检验分类</w:t>
      </w:r>
      <w:bookmarkEnd w:id="56"/>
      <w:bookmarkEnd w:id="57"/>
      <w:bookmarkEnd w:id="58"/>
    </w:p>
    <w:p w14:paraId="289E00A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59" w:name="_Toc30617"/>
      <w:r>
        <w:rPr>
          <w:rFonts w:hint="eastAsia" w:ascii="Times New Roman" w:hAnsi="Times New Roman" w:eastAsia="仿宋" w:cs="Times New Roman"/>
          <w:color w:val="auto"/>
          <w:kern w:val="0"/>
          <w:sz w:val="21"/>
          <w:szCs w:val="21"/>
          <w:highlight w:val="none"/>
          <w:lang w:val="en-US" w:eastAsia="zh-CN" w:bidi="ar"/>
        </w:rPr>
        <w:t>8.3.1型式检验</w:t>
      </w:r>
      <w:bookmarkEnd w:id="59"/>
    </w:p>
    <w:p w14:paraId="7732CE82">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型式检验是对产品进行全面考核，以及对本标准规定的全部要求（指标）进行检验。正常生产每年采摘初期至少进行一次型式检验，此外有下列情形之一时，也应进行型式检验：</w:t>
      </w:r>
    </w:p>
    <w:p w14:paraId="007416E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a）申请专用水果标志；</w:t>
      </w:r>
    </w:p>
    <w:p w14:paraId="13766A7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b）前后两次抽样检验结果差异较大；</w:t>
      </w:r>
    </w:p>
    <w:p w14:paraId="4D339C1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c）人为或自然因素使生产环境发生较大变化；</w:t>
      </w:r>
    </w:p>
    <w:p w14:paraId="0A70584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d）国家质量监督机构或主管部门提出型式检验要求。</w:t>
      </w:r>
    </w:p>
    <w:p w14:paraId="0AEBFD9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60" w:name="_Toc17152"/>
      <w:r>
        <w:rPr>
          <w:rFonts w:hint="eastAsia" w:ascii="Times New Roman" w:hAnsi="Times New Roman" w:eastAsia="仿宋" w:cs="Times New Roman"/>
          <w:color w:val="auto"/>
          <w:kern w:val="0"/>
          <w:sz w:val="21"/>
          <w:szCs w:val="21"/>
          <w:highlight w:val="none"/>
          <w:lang w:val="en-US" w:eastAsia="zh-CN" w:bidi="ar"/>
        </w:rPr>
        <w:t>8.3.2交收检验</w:t>
      </w:r>
      <w:bookmarkEnd w:id="60"/>
    </w:p>
    <w:p w14:paraId="4CD2D539">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每批产品交收前，生产单位都应进行交收检验，交收检验的内容包括包装、标志、标签、等级要求。检验合格并附合格证的产品方可交收。</w:t>
      </w:r>
    </w:p>
    <w:p w14:paraId="588916E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61" w:name="_Toc26851"/>
      <w:bookmarkStart w:id="62" w:name="_Toc11603"/>
      <w:bookmarkStart w:id="63" w:name="_Toc30331"/>
      <w:r>
        <w:rPr>
          <w:rFonts w:hint="eastAsia" w:ascii="Times New Roman" w:hAnsi="Times New Roman" w:eastAsia="仿宋" w:cs="Times New Roman"/>
          <w:color w:val="auto"/>
          <w:kern w:val="0"/>
          <w:sz w:val="21"/>
          <w:szCs w:val="21"/>
          <w:highlight w:val="none"/>
          <w:lang w:val="en-US" w:eastAsia="zh-CN" w:bidi="ar"/>
        </w:rPr>
        <w:t>8.4 判定规则</w:t>
      </w:r>
      <w:bookmarkEnd w:id="61"/>
      <w:bookmarkEnd w:id="62"/>
      <w:bookmarkEnd w:id="63"/>
    </w:p>
    <w:p w14:paraId="3DCB239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8.4.1 每批受检样品抽样检验时，应对不符合外观等级要求的样品予以记录，不合格率按有缺陷果实质量计算，整批受检样品的平均不合格率不应超过5%，且单件包装样品的不合格率不应超过10%。理化指标如有一项不合格，应加倍抽样进行复检，若复检结果仍不合格，则判定该批产品不符合相应等级。卫生指标中如有一项不合格，即判定该批次产品不合格，且不得复检。</w:t>
      </w:r>
    </w:p>
    <w:p w14:paraId="237EFE3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8.4.2对包装、标志、标签不符合要求，允许生产单位整改后申请复检。</w:t>
      </w:r>
    </w:p>
    <w:p w14:paraId="319040CB">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64" w:name="_Toc8547"/>
      <w:bookmarkStart w:id="65" w:name="_Toc2081"/>
      <w:bookmarkStart w:id="66" w:name="_Toc6915"/>
      <w:r>
        <w:rPr>
          <w:rFonts w:hint="eastAsia" w:ascii="Times New Roman" w:hAnsi="Times New Roman" w:eastAsia="仿宋" w:cs="Times New Roman"/>
          <w:color w:val="auto"/>
          <w:kern w:val="0"/>
          <w:sz w:val="21"/>
          <w:szCs w:val="21"/>
          <w:highlight w:val="none"/>
          <w:lang w:val="en-US" w:eastAsia="zh-CN" w:bidi="ar"/>
        </w:rPr>
        <w:t xml:space="preserve">9  </w:t>
      </w:r>
      <w:bookmarkEnd w:id="64"/>
      <w:bookmarkEnd w:id="65"/>
      <w:bookmarkEnd w:id="66"/>
      <w:r>
        <w:rPr>
          <w:rFonts w:hint="eastAsia" w:ascii="Times New Roman" w:hAnsi="Times New Roman" w:eastAsia="仿宋" w:cs="Times New Roman"/>
          <w:color w:val="auto"/>
          <w:kern w:val="0"/>
          <w:sz w:val="21"/>
          <w:szCs w:val="21"/>
          <w:highlight w:val="none"/>
          <w:lang w:val="en-US" w:eastAsia="zh-CN" w:bidi="ar"/>
        </w:rPr>
        <w:t>采收</w:t>
      </w:r>
    </w:p>
    <w:p w14:paraId="6267CA9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采收时间8月下旬至10月上旬。果实可溶性固形物含量达到12.5%以上时开始采收。花牛苹果应在可采成熟度至食用成熟度阶段采收后销售、贮藏和运输，不宜在生理成熟度阶段采收。</w:t>
      </w:r>
    </w:p>
    <w:p w14:paraId="6B55A8BC">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10 包装</w:t>
      </w:r>
    </w:p>
    <w:p w14:paraId="6AE37B5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按照GB 7718和GB/T 13607的有关规定执行。包装容器应坚固耐用、清洁卫生、干燥、无异味，内外均无刺伤果实的尖突物，并有合适的通气孔，对产品具有良好的保护作用。包装材料应无毒、无虫、无异味、不会污染果实。</w:t>
      </w:r>
    </w:p>
    <w:p w14:paraId="0B34CFDD">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bookmarkStart w:id="67" w:name="_Toc15397"/>
      <w:bookmarkStart w:id="68" w:name="_Toc6311"/>
      <w:bookmarkStart w:id="69" w:name="_Toc28387"/>
      <w:r>
        <w:rPr>
          <w:rFonts w:hint="eastAsia" w:ascii="Times New Roman" w:hAnsi="Times New Roman" w:eastAsia="仿宋" w:cs="Times New Roman"/>
          <w:color w:val="auto"/>
          <w:kern w:val="0"/>
          <w:sz w:val="21"/>
          <w:szCs w:val="21"/>
          <w:highlight w:val="none"/>
          <w:lang w:val="en-US" w:eastAsia="zh-CN" w:bidi="ar"/>
        </w:rPr>
        <w:t>11 标</w:t>
      </w:r>
      <w:bookmarkEnd w:id="67"/>
      <w:bookmarkEnd w:id="68"/>
      <w:bookmarkEnd w:id="69"/>
      <w:r>
        <w:rPr>
          <w:rFonts w:hint="eastAsia" w:ascii="Times New Roman" w:hAnsi="Times New Roman" w:eastAsia="仿宋" w:cs="Times New Roman"/>
          <w:color w:val="auto"/>
          <w:kern w:val="0"/>
          <w:sz w:val="21"/>
          <w:szCs w:val="21"/>
          <w:highlight w:val="none"/>
          <w:lang w:val="en-US" w:eastAsia="zh-CN" w:bidi="ar"/>
        </w:rPr>
        <w:t>志</w:t>
      </w:r>
    </w:p>
    <w:p w14:paraId="02AE380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符合本文件要求的产品方可在产品标签或包装物上标注“花牛苹果”地理标志产品名称及本文件编号，并应同时使用经国务院知识产权行政管理部门核准公告的“花牛苹果”地理标志专用标志。</w:t>
      </w:r>
    </w:p>
    <w:p w14:paraId="70A8EF8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70" w:name="_Toc4476"/>
      <w:bookmarkStart w:id="71" w:name="_Toc5069"/>
      <w:bookmarkStart w:id="72" w:name="_Toc10448"/>
      <w:r>
        <w:rPr>
          <w:rFonts w:hint="eastAsia" w:ascii="Times New Roman" w:hAnsi="Times New Roman" w:eastAsia="仿宋" w:cs="Times New Roman"/>
          <w:color w:val="auto"/>
          <w:kern w:val="0"/>
          <w:sz w:val="21"/>
          <w:szCs w:val="21"/>
          <w:highlight w:val="none"/>
          <w:lang w:val="en-US" w:eastAsia="zh-CN" w:bidi="ar"/>
        </w:rPr>
        <w:t>12 贮藏</w:t>
      </w:r>
      <w:bookmarkEnd w:id="70"/>
      <w:bookmarkEnd w:id="71"/>
      <w:bookmarkEnd w:id="72"/>
      <w:r>
        <w:rPr>
          <w:rFonts w:hint="eastAsia" w:ascii="Times New Roman" w:hAnsi="Times New Roman" w:eastAsia="仿宋" w:cs="Times New Roman"/>
          <w:color w:val="auto"/>
          <w:kern w:val="0"/>
          <w:sz w:val="21"/>
          <w:szCs w:val="21"/>
          <w:highlight w:val="none"/>
          <w:lang w:val="en-US" w:eastAsia="zh-CN" w:bidi="ar"/>
        </w:rPr>
        <w:t>与运输</w:t>
      </w:r>
    </w:p>
    <w:p w14:paraId="4ABACCDF">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贮藏库房应清洁卫生、无异味，有通风换气条件。中长期贮藏的果实，采收后及时预冷、入库，冷藏温度0℃~2℃，冷藏车运输3℃~5℃，湿度90%以上。产品不应与有毒、有害品和易于传播病虫的物品混合存放，不应使用影响产品质量的保鲜剂和保鲜材料。入库果品应批次分明，堆码整齐。</w:t>
      </w:r>
    </w:p>
    <w:p w14:paraId="4753CE6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运输设备应清洁卫生、无异味，有防雨、防晒、防高温和防冻害设施。不应与有毒、有异味物品混装、混运。长途运输时宜使用具冷藏条件的设备。</w:t>
      </w:r>
    </w:p>
    <w:p w14:paraId="6661BA45">
      <w:pPr>
        <w:spacing w:before="120" w:after="120" w:line="288" w:lineRule="auto"/>
        <w:ind w:left="0" w:firstLine="422" w:firstLineChars="200"/>
        <w:jc w:val="left"/>
        <w:rPr>
          <w:rFonts w:hint="eastAsia" w:ascii="黑体" w:hAnsi="黑体" w:eastAsia="黑体" w:cs="黑体"/>
          <w:b/>
          <w:bCs/>
          <w:sz w:val="21"/>
          <w:szCs w:val="21"/>
          <w:lang w:val="en-US" w:eastAsia="zh-CN"/>
        </w:rPr>
      </w:pPr>
      <w:bookmarkStart w:id="73" w:name="heading_19"/>
      <w:r>
        <w:rPr>
          <w:rFonts w:hint="eastAsia" w:ascii="黑体" w:hAnsi="黑体" w:eastAsia="黑体" w:cs="黑体"/>
          <w:b/>
          <w:bCs/>
          <w:sz w:val="21"/>
          <w:szCs w:val="21"/>
          <w:lang w:val="en-US" w:eastAsia="zh-CN"/>
        </w:rPr>
        <w:t>三、试验验证分析、技术经济及效益分析</w:t>
      </w:r>
      <w:bookmarkEnd w:id="73"/>
    </w:p>
    <w:p w14:paraId="67E43A79">
      <w:pPr>
        <w:widowControl/>
        <w:spacing w:before="312" w:beforeLines="100" w:after="312" w:afterLines="100"/>
        <w:ind w:firstLine="420" w:firstLineChars="200"/>
        <w:jc w:val="left"/>
        <w:rPr>
          <w:rFonts w:ascii="Times New Roman" w:hAnsi="Times New Roman" w:eastAsia="楷体" w:cs="Times New Roman"/>
          <w:color w:val="auto"/>
          <w:kern w:val="0"/>
          <w:sz w:val="21"/>
          <w:szCs w:val="21"/>
          <w:highlight w:val="none"/>
          <w:lang w:val="en-US" w:eastAsia="zh-CN" w:bidi="ar"/>
        </w:rPr>
      </w:pPr>
      <w:bookmarkStart w:id="74" w:name="heading_20"/>
      <w:r>
        <w:rPr>
          <w:rFonts w:ascii="Times New Roman" w:hAnsi="Times New Roman" w:eastAsia="楷体" w:cs="Times New Roman"/>
          <w:color w:val="auto"/>
          <w:kern w:val="0"/>
          <w:sz w:val="21"/>
          <w:szCs w:val="21"/>
          <w:highlight w:val="none"/>
          <w:lang w:val="en-US" w:eastAsia="zh-CN" w:bidi="ar"/>
        </w:rPr>
        <w:t>（一）试验验证分析</w:t>
      </w:r>
      <w:bookmarkEnd w:id="74"/>
    </w:p>
    <w:p w14:paraId="1B695F4C">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起草组在花牛苹果主产区开展样品采集试验，采用滴定法、硬度计、折射仪、螺旋榨汁设备实测百余组花牛苹果果实硬度、可溶性固形物、可滴定酸等关键指标，汇总实测数据作为标准理化指标设置核心依据，确保指标贴合生产实操。</w:t>
      </w:r>
    </w:p>
    <w:p w14:paraId="23A599F6">
      <w:pPr>
        <w:widowControl/>
        <w:numPr>
          <w:ilvl w:val="0"/>
          <w:numId w:val="2"/>
        </w:numPr>
        <w:spacing w:before="312" w:beforeLines="100" w:after="312" w:afterLines="100"/>
        <w:ind w:firstLine="420" w:firstLineChars="200"/>
        <w:jc w:val="left"/>
        <w:rPr>
          <w:rFonts w:ascii="Times New Roman" w:hAnsi="Times New Roman" w:eastAsia="楷体" w:cs="Times New Roman"/>
          <w:color w:val="auto"/>
          <w:kern w:val="0"/>
          <w:sz w:val="21"/>
          <w:szCs w:val="21"/>
          <w:highlight w:val="none"/>
          <w:lang w:val="en-US" w:eastAsia="zh-CN" w:bidi="ar"/>
        </w:rPr>
      </w:pPr>
      <w:bookmarkStart w:id="75" w:name="heading_21"/>
      <w:r>
        <w:rPr>
          <w:rFonts w:ascii="Times New Roman" w:hAnsi="Times New Roman" w:eastAsia="楷体" w:cs="Times New Roman"/>
          <w:color w:val="auto"/>
          <w:kern w:val="0"/>
          <w:sz w:val="21"/>
          <w:szCs w:val="21"/>
          <w:highlight w:val="none"/>
          <w:lang w:val="en-US" w:eastAsia="zh-CN" w:bidi="ar"/>
        </w:rPr>
        <w:t>经济效益</w:t>
      </w:r>
      <w:bookmarkEnd w:id="75"/>
    </w:p>
    <w:p w14:paraId="600FF17D">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提升果品附加值：标准落地实现分级定价，特级花牛苹果单独商品化包装、高端渠道销售，摆脱混装低价销售现状，优质果收购价提升15%～30%，直接增加果农收益；</w:t>
      </w:r>
    </w:p>
    <w:p w14:paraId="2051E118">
      <w:pPr>
        <w:widowControl/>
        <w:spacing w:before="312" w:beforeLines="100" w:after="312" w:afterLines="100" w:line="240" w:lineRule="auto"/>
        <w:ind w:left="0" w:firstLine="420" w:firstLineChars="200"/>
        <w:jc w:val="left"/>
        <w:outlineLvl w:val="9"/>
        <w:rPr>
          <w:rFonts w:ascii="Times New Roman" w:hAnsi="Times New Roman" w:eastAsia="楷体" w:cs="Times New Roman"/>
          <w:color w:val="auto"/>
          <w:kern w:val="0"/>
          <w:sz w:val="21"/>
          <w:szCs w:val="21"/>
          <w:highlight w:val="none"/>
          <w:lang w:val="en-US" w:eastAsia="zh-CN" w:bidi="ar"/>
        </w:rPr>
      </w:pPr>
      <w:bookmarkStart w:id="76" w:name="heading_22"/>
      <w:r>
        <w:rPr>
          <w:rFonts w:ascii="Times New Roman" w:hAnsi="Times New Roman" w:eastAsia="楷体" w:cs="Times New Roman"/>
          <w:color w:val="auto"/>
          <w:kern w:val="0"/>
          <w:sz w:val="21"/>
          <w:szCs w:val="21"/>
          <w:highlight w:val="none"/>
          <w:lang w:val="en-US" w:eastAsia="zh-CN" w:bidi="ar"/>
        </w:rPr>
        <w:t>（三）社会效益</w:t>
      </w:r>
      <w:bookmarkEnd w:id="76"/>
    </w:p>
    <w:p w14:paraId="200881A1">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1. 助推全国水果优质化落地：统一花牛苹果分级标尺，倒逼产区淘汰掠夺式早采，引导绿色标准化栽培，整体提升花牛苹果品质水平；</w:t>
      </w:r>
    </w:p>
    <w:p w14:paraId="63CCDFC6">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2. 规范市场秩序：消除分级乱象，减少购销贸易纠纷，助力花牛苹果区域公共品牌培育，拓展国内及出口市场；</w:t>
      </w:r>
    </w:p>
    <w:p w14:paraId="1D6BAA9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3. 稳固乡村产业：以标准化带动花牛苹果全产业链发展，吸纳产地就业，助力果区乡村振兴。</w:t>
      </w:r>
    </w:p>
    <w:p w14:paraId="2EC9D7BF">
      <w:pPr>
        <w:widowControl/>
        <w:spacing w:before="312" w:beforeLines="100" w:after="312" w:afterLines="100" w:line="240" w:lineRule="auto"/>
        <w:ind w:left="0" w:firstLine="420" w:firstLineChars="200"/>
        <w:jc w:val="left"/>
        <w:outlineLvl w:val="9"/>
        <w:rPr>
          <w:rFonts w:ascii="Times New Roman" w:hAnsi="Times New Roman" w:eastAsia="楷体" w:cs="Times New Roman"/>
          <w:color w:val="auto"/>
          <w:kern w:val="0"/>
          <w:sz w:val="21"/>
          <w:szCs w:val="21"/>
          <w:highlight w:val="none"/>
          <w:lang w:val="en-US" w:eastAsia="zh-CN" w:bidi="ar"/>
        </w:rPr>
      </w:pPr>
      <w:bookmarkStart w:id="77" w:name="heading_23"/>
      <w:r>
        <w:rPr>
          <w:rFonts w:ascii="Times New Roman" w:hAnsi="Times New Roman" w:eastAsia="楷体" w:cs="Times New Roman"/>
          <w:color w:val="auto"/>
          <w:kern w:val="0"/>
          <w:sz w:val="21"/>
          <w:szCs w:val="21"/>
          <w:highlight w:val="none"/>
          <w:lang w:val="en-US" w:eastAsia="zh-CN" w:bidi="ar"/>
        </w:rPr>
        <w:t>（四）生态效益</w:t>
      </w:r>
      <w:bookmarkEnd w:id="77"/>
    </w:p>
    <w:p w14:paraId="6B2A601E">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r>
        <w:rPr>
          <w:rFonts w:hint="eastAsia" w:ascii="Times New Roman" w:hAnsi="Times New Roman" w:eastAsia="仿宋" w:cs="Times New Roman"/>
          <w:color w:val="auto"/>
          <w:kern w:val="0"/>
          <w:sz w:val="21"/>
          <w:szCs w:val="21"/>
          <w:highlight w:val="none"/>
          <w:lang w:val="en-US" w:eastAsia="zh-CN" w:bidi="ar"/>
        </w:rPr>
        <w:t>标准引导标准化疏花疏果、科学植保、精细化田间管理，减少盲目用药、过量施肥，推动果园绿色生态栽培，降低农业面源污染。</w:t>
      </w:r>
    </w:p>
    <w:p w14:paraId="5036BED6">
      <w:pPr>
        <w:spacing w:before="120" w:after="120" w:line="288" w:lineRule="auto"/>
        <w:ind w:left="0" w:firstLine="422" w:firstLineChars="200"/>
        <w:jc w:val="left"/>
        <w:rPr>
          <w:rFonts w:hint="eastAsia" w:ascii="黑体" w:hAnsi="黑体" w:eastAsia="黑体" w:cs="黑体"/>
          <w:b/>
          <w:bCs/>
          <w:sz w:val="21"/>
          <w:szCs w:val="21"/>
          <w:lang w:val="en-US" w:eastAsia="zh-CN"/>
        </w:rPr>
      </w:pPr>
      <w:bookmarkStart w:id="78" w:name="heading_24"/>
      <w:r>
        <w:rPr>
          <w:rFonts w:hint="eastAsia" w:ascii="黑体" w:hAnsi="黑体" w:eastAsia="黑体" w:cs="黑体"/>
          <w:b/>
          <w:bCs/>
          <w:sz w:val="21"/>
          <w:szCs w:val="21"/>
          <w:lang w:val="en-US" w:eastAsia="zh-CN"/>
        </w:rPr>
        <w:t>四、采用国际、国外先进标准程度</w:t>
      </w:r>
      <w:bookmarkEnd w:id="78"/>
    </w:p>
    <w:p w14:paraId="29DF8E97">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79" w:name="heading_25"/>
      <w:r>
        <w:rPr>
          <w:rFonts w:hint="eastAsia" w:ascii="Times New Roman" w:hAnsi="Times New Roman" w:eastAsia="仿宋" w:cs="Times New Roman"/>
          <w:color w:val="auto"/>
          <w:kern w:val="0"/>
          <w:sz w:val="21"/>
          <w:szCs w:val="21"/>
          <w:highlight w:val="none"/>
          <w:lang w:val="en-US" w:eastAsia="zh-CN" w:bidi="ar"/>
        </w:rPr>
        <w:t>无。</w:t>
      </w:r>
    </w:p>
    <w:p w14:paraId="7DB5ED30">
      <w:pPr>
        <w:spacing w:before="120" w:after="120" w:line="288" w:lineRule="auto"/>
        <w:ind w:left="0" w:firstLine="422" w:firstLineChars="200"/>
        <w:jc w:val="left"/>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五、与现行法律法规、强制性国标协调关系</w:t>
      </w:r>
      <w:bookmarkEnd w:id="79"/>
    </w:p>
    <w:p w14:paraId="7C45AB63">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80" w:name="heading_26"/>
      <w:r>
        <w:rPr>
          <w:rFonts w:hint="default" w:ascii="Times New Roman" w:hAnsi="Times New Roman" w:eastAsia="仿宋" w:cs="Times New Roman"/>
          <w:color w:val="auto"/>
          <w:kern w:val="0"/>
          <w:sz w:val="21"/>
          <w:szCs w:val="21"/>
          <w:highlight w:val="none"/>
          <w:lang w:val="en-US" w:eastAsia="zh-CN" w:bidi="ar"/>
        </w:rPr>
        <w:t>相关的法规和标准主要有：</w:t>
      </w:r>
      <w:r>
        <w:rPr>
          <w:rFonts w:hint="eastAsia" w:ascii="Times New Roman" w:hAnsi="Times New Roman" w:eastAsia="仿宋" w:cs="Times New Roman"/>
          <w:color w:val="auto"/>
          <w:kern w:val="0"/>
          <w:sz w:val="21"/>
          <w:szCs w:val="21"/>
          <w:highlight w:val="none"/>
          <w:lang w:val="en-US" w:eastAsia="zh-CN" w:bidi="ar"/>
        </w:rPr>
        <w:t>行业标准NY/T 2316-2023 苹果品质指标评价规范、</w:t>
      </w:r>
      <w:r>
        <w:rPr>
          <w:rFonts w:hint="default" w:ascii="Times New Roman" w:hAnsi="Times New Roman" w:eastAsia="仿宋" w:cs="Times New Roman"/>
          <w:color w:val="auto"/>
          <w:kern w:val="0"/>
          <w:sz w:val="21"/>
          <w:szCs w:val="21"/>
          <w:highlight w:val="none"/>
          <w:lang w:val="en-US" w:eastAsia="zh-CN" w:bidi="ar"/>
        </w:rPr>
        <w:t>NY/T 2637 果蔬可溶性固形物折射仪测定</w:t>
      </w:r>
      <w:r>
        <w:rPr>
          <w:rFonts w:hint="eastAsia" w:ascii="Times New Roman" w:hAnsi="Times New Roman" w:eastAsia="仿宋" w:cs="Times New Roman"/>
          <w:color w:val="auto"/>
          <w:kern w:val="0"/>
          <w:sz w:val="21"/>
          <w:szCs w:val="21"/>
          <w:highlight w:val="none"/>
          <w:lang w:val="en-US" w:eastAsia="zh-CN" w:bidi="ar"/>
        </w:rPr>
        <w:t>；</w:t>
      </w:r>
    </w:p>
    <w:p w14:paraId="23B5518E">
      <w:pPr>
        <w:spacing w:before="120" w:after="120" w:line="288" w:lineRule="auto"/>
        <w:ind w:left="0" w:firstLine="422" w:firstLineChars="200"/>
        <w:jc w:val="left"/>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六、重大分歧意见处理</w:t>
      </w:r>
      <w:bookmarkEnd w:id="80"/>
    </w:p>
    <w:p w14:paraId="53510698">
      <w:pPr>
        <w:widowControl/>
        <w:spacing w:line="300" w:lineRule="auto"/>
        <w:ind w:firstLine="420" w:firstLineChars="200"/>
        <w:jc w:val="both"/>
        <w:rPr>
          <w:rFonts w:hint="eastAsia" w:ascii="Times New Roman" w:hAnsi="Times New Roman" w:eastAsia="仿宋" w:cs="Times New Roman"/>
          <w:color w:val="auto"/>
          <w:kern w:val="0"/>
          <w:sz w:val="21"/>
          <w:szCs w:val="21"/>
          <w:highlight w:val="none"/>
          <w:lang w:val="en-US" w:eastAsia="zh-CN" w:bidi="ar"/>
        </w:rPr>
      </w:pPr>
      <w:bookmarkStart w:id="81" w:name="heading_27"/>
      <w:r>
        <w:rPr>
          <w:rFonts w:hint="default" w:ascii="Times New Roman" w:hAnsi="Times New Roman" w:eastAsia="仿宋" w:cs="Times New Roman"/>
          <w:color w:val="auto"/>
          <w:kern w:val="0"/>
          <w:sz w:val="21"/>
          <w:szCs w:val="21"/>
          <w:highlight w:val="none"/>
          <w:lang w:val="en-US" w:eastAsia="zh-CN" w:bidi="ar"/>
        </w:rPr>
        <w:t>本标准在制定过程中未出现重大分歧意见</w:t>
      </w:r>
      <w:r>
        <w:rPr>
          <w:rFonts w:hint="eastAsia" w:ascii="Times New Roman" w:hAnsi="Times New Roman" w:eastAsia="仿宋" w:cs="Times New Roman"/>
          <w:color w:val="auto"/>
          <w:kern w:val="0"/>
          <w:sz w:val="21"/>
          <w:szCs w:val="21"/>
          <w:highlight w:val="none"/>
          <w:lang w:val="en-US" w:eastAsia="zh-CN" w:bidi="ar"/>
        </w:rPr>
        <w:t>。</w:t>
      </w:r>
    </w:p>
    <w:p w14:paraId="18B1F61F">
      <w:pPr>
        <w:spacing w:before="120" w:after="120" w:line="288" w:lineRule="auto"/>
        <w:ind w:left="0" w:firstLine="422" w:firstLineChars="200"/>
        <w:jc w:val="left"/>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七、专利相关说明</w:t>
      </w:r>
      <w:bookmarkEnd w:id="81"/>
    </w:p>
    <w:p w14:paraId="21E27A3A">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r>
        <w:rPr>
          <w:rFonts w:hint="default" w:ascii="Times New Roman" w:hAnsi="Times New Roman" w:eastAsia="仿宋" w:cs="Times New Roman"/>
          <w:color w:val="auto"/>
          <w:kern w:val="0"/>
          <w:sz w:val="21"/>
          <w:szCs w:val="21"/>
          <w:highlight w:val="none"/>
          <w:lang w:val="en-US" w:eastAsia="zh-CN" w:bidi="ar"/>
        </w:rPr>
        <w:t>本标准编制内容不涉及任何专利技术，无专利权责问题。</w:t>
      </w:r>
    </w:p>
    <w:p w14:paraId="2565CA31">
      <w:pPr>
        <w:spacing w:before="120" w:after="120" w:line="288" w:lineRule="auto"/>
        <w:ind w:left="0" w:firstLine="422" w:firstLineChars="200"/>
        <w:jc w:val="left"/>
        <w:rPr>
          <w:rFonts w:hint="eastAsia" w:ascii="黑体" w:hAnsi="黑体" w:eastAsia="黑体" w:cs="黑体"/>
          <w:b/>
          <w:bCs/>
          <w:sz w:val="21"/>
          <w:szCs w:val="21"/>
          <w:lang w:val="en-US" w:eastAsia="zh-CN"/>
        </w:rPr>
      </w:pPr>
      <w:bookmarkStart w:id="82" w:name="heading_28"/>
      <w:r>
        <w:rPr>
          <w:rFonts w:hint="eastAsia" w:ascii="黑体" w:hAnsi="黑体" w:eastAsia="黑体" w:cs="黑体"/>
          <w:b/>
          <w:bCs/>
          <w:sz w:val="21"/>
          <w:szCs w:val="21"/>
          <w:lang w:val="en-US" w:eastAsia="zh-CN"/>
        </w:rPr>
        <w:t>八、标准落地实施建议</w:t>
      </w:r>
      <w:bookmarkEnd w:id="82"/>
    </w:p>
    <w:p w14:paraId="5414473D">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bookmarkStart w:id="83" w:name="heading_29"/>
      <w:r>
        <w:rPr>
          <w:rFonts w:hint="default" w:ascii="Times New Roman" w:hAnsi="Times New Roman" w:eastAsia="仿宋" w:cs="Times New Roman"/>
          <w:color w:val="auto"/>
          <w:kern w:val="0"/>
          <w:sz w:val="21"/>
          <w:szCs w:val="21"/>
          <w:highlight w:val="none"/>
          <w:lang w:val="en-US" w:eastAsia="zh-CN" w:bidi="ar"/>
        </w:rPr>
        <w:t>本标准在</w:t>
      </w:r>
      <w:r>
        <w:rPr>
          <w:rFonts w:hint="eastAsia" w:ascii="Times New Roman" w:hAnsi="Times New Roman" w:eastAsia="仿宋" w:cs="Times New Roman"/>
          <w:color w:val="auto"/>
          <w:kern w:val="0"/>
          <w:sz w:val="21"/>
          <w:szCs w:val="21"/>
          <w:highlight w:val="none"/>
          <w:lang w:val="en-US" w:eastAsia="zh-CN" w:bidi="ar"/>
        </w:rPr>
        <w:t>花牛</w:t>
      </w:r>
      <w:r>
        <w:rPr>
          <w:rFonts w:hint="default" w:ascii="Times New Roman" w:hAnsi="Times New Roman" w:eastAsia="仿宋" w:cs="Times New Roman"/>
          <w:color w:val="auto"/>
          <w:kern w:val="0"/>
          <w:sz w:val="21"/>
          <w:szCs w:val="21"/>
          <w:highlight w:val="none"/>
          <w:lang w:val="en-US" w:eastAsia="zh-CN" w:bidi="ar"/>
        </w:rPr>
        <w:t>苹果产区实施，各县（区）果业中心要大量印发本标准，并进行培训，推广标准。提高苹果质量等级规格标准化水平，为乡村振兴发挥重要作用。</w:t>
      </w:r>
    </w:p>
    <w:p w14:paraId="284C05B4">
      <w:pPr>
        <w:spacing w:before="120" w:after="120" w:line="288" w:lineRule="auto"/>
        <w:ind w:left="0" w:firstLine="422" w:firstLineChars="200"/>
        <w:jc w:val="left"/>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九、其他说明事项</w:t>
      </w:r>
      <w:bookmarkEnd w:id="83"/>
    </w:p>
    <w:p w14:paraId="09501AA1">
      <w:pPr>
        <w:widowControl/>
        <w:spacing w:line="300" w:lineRule="auto"/>
        <w:ind w:firstLine="420" w:firstLineChars="200"/>
        <w:jc w:val="both"/>
        <w:rPr>
          <w:rFonts w:hint="default" w:ascii="Times New Roman" w:hAnsi="Times New Roman" w:eastAsia="仿宋" w:cs="Times New Roman"/>
          <w:color w:val="auto"/>
          <w:kern w:val="0"/>
          <w:sz w:val="21"/>
          <w:szCs w:val="21"/>
          <w:highlight w:val="none"/>
          <w:lang w:val="en-US" w:eastAsia="zh-CN" w:bidi="ar"/>
        </w:rPr>
      </w:pPr>
      <w:r>
        <w:rPr>
          <w:rFonts w:hint="default" w:ascii="Times New Roman" w:hAnsi="Times New Roman" w:eastAsia="仿宋" w:cs="Times New Roman"/>
          <w:color w:val="auto"/>
          <w:kern w:val="0"/>
          <w:sz w:val="21"/>
          <w:szCs w:val="21"/>
          <w:highlight w:val="none"/>
          <w:lang w:val="en-US" w:eastAsia="zh-CN" w:bidi="ar"/>
        </w:rPr>
        <w:t>无。</w:t>
      </w:r>
    </w:p>
    <w:sectPr>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FD5F76-03AA-49CD-8DE2-4E4BC4D1444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1CA23A6-088E-465C-A155-249034398C21}"/>
  </w:font>
  <w:font w:name="方正小标宋简体">
    <w:panose1 w:val="02000000000000000000"/>
    <w:charset w:val="86"/>
    <w:family w:val="auto"/>
    <w:pitch w:val="default"/>
    <w:sig w:usb0="00000001" w:usb1="08000000" w:usb2="00000000" w:usb3="00000000" w:csb0="00040000" w:csb1="00000000"/>
    <w:embedRegular r:id="rId3" w:fontKey="{394D7A7D-6E88-4DF7-9E49-84B3DC8AA9DB}"/>
  </w:font>
  <w:font w:name="楷体">
    <w:panose1 w:val="02010609060101010101"/>
    <w:charset w:val="86"/>
    <w:family w:val="auto"/>
    <w:pitch w:val="default"/>
    <w:sig w:usb0="800002BF" w:usb1="38CF7CFA" w:usb2="00000016" w:usb3="00000000" w:csb0="00040001" w:csb1="00000000"/>
    <w:embedRegular r:id="rId4" w:fontKey="{C9CD38D9-A0D2-4BE7-83EF-177A588370D7}"/>
  </w:font>
  <w:font w:name="仿宋">
    <w:panose1 w:val="02010609060101010101"/>
    <w:charset w:val="86"/>
    <w:family w:val="auto"/>
    <w:pitch w:val="default"/>
    <w:sig w:usb0="800002BF" w:usb1="38CF7CFA" w:usb2="00000016" w:usb3="00000000" w:csb0="00040001" w:csb1="00000000"/>
    <w:embedRegular r:id="rId5" w:fontKey="{571C69ED-27F1-4758-970E-F1B9EF163FA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063BFF"/>
    <w:multiLevelType w:val="singleLevel"/>
    <w:tmpl w:val="CC063BFF"/>
    <w:lvl w:ilvl="0" w:tentative="0">
      <w:start w:val="2"/>
      <w:numFmt w:val="chineseCounting"/>
      <w:suff w:val="nothing"/>
      <w:lvlText w:val="（%1）"/>
      <w:lvlJc w:val="left"/>
      <w:rPr>
        <w:rFonts w:hint="eastAsia"/>
      </w:rPr>
    </w:lvl>
  </w:abstractNum>
  <w:abstractNum w:abstractNumId="1">
    <w:nsid w:val="646260FA"/>
    <w:multiLevelType w:val="multilevel"/>
    <w:tmpl w:val="646260FA"/>
    <w:lvl w:ilvl="0" w:tentative="0">
      <w:start w:val="1"/>
      <w:numFmt w:val="decimal"/>
      <w:pStyle w:val="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Dg5NWFhNzUxYzY3YmE1ODAxZWI2NDVjZGUyODUifQ=="/>
  </w:docVars>
  <w:rsids>
    <w:rsidRoot w:val="00000000"/>
    <w:rsid w:val="03113011"/>
    <w:rsid w:val="03B92C81"/>
    <w:rsid w:val="0607571A"/>
    <w:rsid w:val="11BF511D"/>
    <w:rsid w:val="15F75724"/>
    <w:rsid w:val="18901F06"/>
    <w:rsid w:val="1C073948"/>
    <w:rsid w:val="1D412E8A"/>
    <w:rsid w:val="20AD0837"/>
    <w:rsid w:val="212E718B"/>
    <w:rsid w:val="213F1DD6"/>
    <w:rsid w:val="214B42D7"/>
    <w:rsid w:val="227F2F7C"/>
    <w:rsid w:val="241430A6"/>
    <w:rsid w:val="2CE07EAC"/>
    <w:rsid w:val="32004C6A"/>
    <w:rsid w:val="34D523DE"/>
    <w:rsid w:val="37BD0825"/>
    <w:rsid w:val="3AC04D69"/>
    <w:rsid w:val="3D7D1865"/>
    <w:rsid w:val="47A3372D"/>
    <w:rsid w:val="494B2817"/>
    <w:rsid w:val="4AC83AF2"/>
    <w:rsid w:val="4F5902A5"/>
    <w:rsid w:val="51B12D70"/>
    <w:rsid w:val="57A363E6"/>
    <w:rsid w:val="58136BF6"/>
    <w:rsid w:val="593B28A8"/>
    <w:rsid w:val="5947124D"/>
    <w:rsid w:val="59C27544"/>
    <w:rsid w:val="5F9A5E4E"/>
    <w:rsid w:val="6C3A079D"/>
    <w:rsid w:val="6EB44A96"/>
    <w:rsid w:val="6F4638FD"/>
    <w:rsid w:val="720179EE"/>
    <w:rsid w:val="72D06298"/>
    <w:rsid w:val="735C724B"/>
    <w:rsid w:val="7DBD4D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5">
    <w:name w:val="标准文件_正文表标题"/>
    <w:next w:val="1"/>
    <w:qFormat/>
    <w:uiPriority w:val="0"/>
    <w:pPr>
      <w:numPr>
        <w:ilvl w:val="0"/>
        <w:numId w:val="1"/>
      </w:numPr>
      <w:tabs>
        <w:tab w:val="left" w:pos="0"/>
      </w:tabs>
      <w:spacing w:before="50" w:beforeLines="50" w:after="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30a3eb-c847-4690-8476-d3d7a1a257db}"/>
        <w:style w:val=""/>
        <w:category>
          <w:name w:val="常规"/>
          <w:gallery w:val="placeholder"/>
        </w:category>
        <w:types>
          <w:type w:val="bbPlcHdr"/>
        </w:types>
        <w:behaviors>
          <w:behavior w:val="content"/>
        </w:behaviors>
        <w:description w:val=""/>
        <w:guid w:val="{7f30a3eb-c847-4690-8476-d3d7a1a257db}"/>
      </w:docPartPr>
      <w:docPartBody>
        <w:p w14:paraId="25171C86">
          <w:pPr>
            <w:pStyle w:val="2"/>
          </w:pPr>
          <w:r>
            <w:rPr>
              <w:rStyle w:val="3"/>
              <w:rFonts w:hint="eastAsia"/>
            </w:rPr>
            <w:t>选择一项。</w:t>
          </w:r>
        </w:p>
      </w:docPartBody>
    </w:docPart>
    <w:docPart>
      <w:docPartPr>
        <w:name w:val="{3f78d3be-eeba-4bb7-ad08-f21a4ace0f78}"/>
        <w:style w:val=""/>
        <w:category>
          <w:name w:val="常规"/>
          <w:gallery w:val="placeholder"/>
        </w:category>
        <w:types>
          <w:type w:val="bbPlcHdr"/>
        </w:types>
        <w:behaviors>
          <w:behavior w:val="content"/>
        </w:behaviors>
        <w:description w:val=""/>
        <w:guid w:val="{3f78d3be-eeba-4bb7-ad08-f21a4ace0f78}"/>
      </w:docPartPr>
      <w:docPartBody>
        <w:p w14:paraId="70D11F84">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EF998AB1590646C3AF6DB25BB5BC3A5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styleId="3">
    <w:name w:val="Placeholder Text"/>
    <w:basedOn w:val="1"/>
    <w:semiHidden/>
    <w:qFormat/>
    <w:uiPriority w:val="99"/>
    <w:rPr>
      <w:color w:val="808080"/>
    </w:rPr>
  </w:style>
  <w:style w:type="paragraph" w:customStyle="1" w:styleId="4">
    <w:name w:val="B0A6F8C892FD417D8E1DADBB4D22B1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5b0fd2b8-a67e-450a-aa75-bffdfdcee1f3</errorID>
      <errorWord>，</errorWord>
      <group>L1_Grammar</group>
      <groupName>语法问题</groupName>
      <ability>L2_Grammar</ability>
      <abilityName>语法错误</abilityName>
      <candidateList>
        <item>的特点，</item>
      </candidateList>
      <explain/>
      <paraID>720D246C</paraID>
      <start>219</start>
      <end>220</end>
      <status>ignored</status>
      <modifiedWord/>
      <trackRevisions>false</trackRevisions>
    </reviewItem>
    <reviewItem>
      <errorID>a2cbf7f6-ef52-4b91-a85f-5cf407b3df7e</errorID>
      <errorWord>NY/T 2316-2023 苹果品质指标评价规范成熟团体标准</errorWord>
      <group>L1_Other</group>
      <groupName>其他问题</groupName>
      <ability>L2_Consistency</ability>
      <abilityName>一致性检查</abilityName>
      <candidateList>
        <item>NY/T 2316-2023 苹果品质指标评价规范</item>
      </candidateList>
      <explain>术语一致性错误，NY/T 2316-2023为行业标准，此处错误混入其他表述，需删除多余内容</explain>
      <paraID> 3B3EC69</paraID>
      <start>58</start>
      <end>89</end>
      <status>ignored</status>
      <modifiedWord/>
      <trackRevisions>false</trackRevisions>
    </reviewItem>
    <reviewItem>
      <errorID>261a3c01-0cc1-4b6e-b07a-09b743106ecc</errorID>
      <errorWord> 果蔬可溶性固形物折射仪测定</errorWord>
      <group>L1_Punc</group>
      <groupName>标点问题</groupName>
      <ability>L2_Punc_CN</ability>
      <abilityName>标点符号问题</abilityName>
      <candidateList>
        <item>《果蔬可溶性固形物折射仪测定》</item>
      </candidateList>
      <explain/>
      <paraID> 3B3EC69</paraID>
      <start>99</start>
      <end>113</end>
      <status>ignored</status>
      <modifiedWord/>
      <trackRevisions>false</trackRevisions>
    </reviewItem>
    <reviewItem>
      <errorID>4a6e09bb-a581-4dcb-b5ba-ff67aec029c5</errorID>
      <errorWord>、</errorWord>
      <group>L1_Punc</group>
      <groupName>标点问题</groupName>
      <ability>L2_Punc_CN</ability>
      <abilityName>标点符号问题</abilityName>
      <candidateList>
        <item/>
      </candidateList>
      <explain/>
      <paraID>6C9B05AF</paraID>
      <start>57</start>
      <end>58</end>
      <status>ignored</status>
      <modifiedWord/>
      <trackRevisions>false</trackRevisions>
    </reviewItem>
    <reviewItem>
      <errorID>916611f1-95f5-424b-86ef-78282af1aa9b</errorID>
      <errorWord>/</errorWord>
      <group>L1_Punc</group>
      <groupName>标点问题</groupName>
      <ability>L2_Punc_CN</ability>
      <abilityName>标点符号问题</abilityName>
      <candidateList>
        <item>，</item>
      </candidateList>
      <explain/>
      <paraID>247CFAD5</paraID>
      <start>22</start>
      <end>23</end>
      <status>modified</status>
      <modifiedWord>，</modifiedWord>
      <trackRevisions>false</trackRevisions>
    </reviewItem>
    <reviewItem>
      <errorID>f33661e4-6827-4814-96b1-43302e30376e</errorID>
      <errorWord> </errorWord>
      <group>L1_Punc</group>
      <groupName>标点问题</groupName>
      <ability>L2_Punc_CN</ability>
      <abilityName>标点符号问题</abilityName>
      <candidateList>
        <item>. </item>
      </candidateList>
      <explain/>
      <paraID>59B592C5</paraID>
      <start>1</start>
      <end>2</end>
      <status>ignored</status>
      <modifiedWord/>
      <trackRevisions>false</trackRevisions>
    </reviewItem>
    <reviewItem>
      <errorID>91eb5dd3-1862-478d-b17d-06a1c65e0b4c</errorID>
      <errorWord> </errorWord>
      <group>L1_Punc</group>
      <groupName>标点问题</groupName>
      <ability>L2_Punc_CN</ability>
      <abilityName>标点符号问题</abilityName>
      <candidateList>
        <item>. </item>
      </candidateList>
      <explain/>
      <paraID>1E78C7F5</paraID>
      <start>1</start>
      <end>2</end>
      <status>ignored</status>
      <modifiedWord/>
      <trackRevisions>false</trackRevisions>
    </reviewItem>
    <reviewItem>
      <errorID>35efce3d-f29b-41ff-8223-18e6d6d5de23</errorID>
      <errorWord>花</errorWord>
      <group>L1_Word</group>
      <groupName>字词问题</groupName>
      <ability>L2_Typo</ability>
      <abilityName>字词错误</abilityName>
      <candidateList>
        <item> 花</item>
      </candidateList>
      <explain/>
      <paraID>2C53F19D</paraID>
      <start>3</start>
      <end>4</end>
      <status>ignored</status>
      <modifiedWord/>
      <trackRevisions>false</trackRevisions>
    </reviewItem>
    <reviewItem>
      <errorID>e4fc6298-f18f-4d49-844c-23730b4a792b</errorID>
      <errorWord>Apple</errorWord>
      <group>L1_Word</group>
      <groupName>字词问题</groupName>
      <ability>L2_Typo</ability>
      <abilityName>字词错误</abilityName>
      <candidateList>
        <item> Apple</item>
      </candidateList>
      <explain/>
      <paraID>2C53F19D</paraID>
      <start>17</start>
      <end>22</end>
      <status>ignored</status>
      <modifiedWord/>
      <trackRevisions>false</trackRevisions>
    </reviewItem>
    <reviewItem>
      <errorID>3e9e8d3d-007d-4284-8797-a34f5b78b82e</errorID>
      <errorWord>食用</errorWord>
      <group>L1_Word</group>
      <groupName>字词问题</groupName>
      <ability>L2_Typo</ability>
      <abilityName>字词错误</abilityName>
      <candidateList>
        <item> 食用</item>
      </candidateList>
      <explain/>
      <paraID>48714DB4</paraID>
      <start>3</start>
      <end>5</end>
      <status>ignored</status>
      <modifiedWord/>
      <trackRevisions>false</trackRevisions>
    </reviewItem>
    <reviewItem>
      <errorID>3c271bba-bcbc-4617-9452-de98ea898fa0</errorID>
      <errorWord> </errorWord>
      <group>L1_Word</group>
      <groupName>字词问题</groupName>
      <ability>L2_Typo</ability>
      <abilityName>字词错误</abilityName>
      <candidateList>
        <item>°</item>
      </candidateList>
      <explain/>
      <paraID>23E2F1AF</paraID>
      <start>75</start>
      <end>76</end>
      <status>ignored</status>
      <modifiedWord/>
      <trackRevisions>false</trackRevisions>
    </reviewItem>
    <reviewItem>
      <errorID>87a90e04-b91f-4a42-b18f-e4061bd95306</errorID>
      <errorWord> </errorWord>
      <group>L1_Word</group>
      <groupName>字词问题</groupName>
      <ability>L2_Typo</ability>
      <abilityName>字词错误</abilityName>
      <candidateList>
        <item>°</item>
      </candidateList>
      <explain/>
      <paraID>23E2F1AF</paraID>
      <start>83</start>
      <end>84</end>
      <status>ignored</status>
      <modifiedWord/>
      <trackRevisions>false</trackRevisions>
    </reviewItem>
    <reviewItem>
      <errorID>1d35cd9c-11f4-4910-b48d-8f292dfd137d</errorID>
      <errorWord> </errorWord>
      <group>L1_Word</group>
      <groupName>字词问题</groupName>
      <ability>L2_Typo</ability>
      <abilityName>字词错误</abilityName>
      <candidateList>
        <item>°</item>
      </candidateList>
      <explain/>
      <paraID>23E2F1AF</paraID>
      <start>92</start>
      <end>93</end>
      <status>ignored</status>
      <modifiedWord/>
      <trackRevisions>false</trackRevisions>
    </reviewItem>
    <reviewItem>
      <errorID>07fc433b-76a6-4c30-82c2-057299aa56a8</errorID>
      <errorWord> </errorWord>
      <group>L1_Word</group>
      <groupName>字词问题</groupName>
      <ability>L2_Typo</ability>
      <abilityName>字词错误</abilityName>
      <candidateList>
        <item>°</item>
      </candidateList>
      <explain/>
      <paraID>23E2F1AF</paraID>
      <start>99</start>
      <end>100</end>
      <status>ignored</status>
      <modifiedWord/>
      <trackRevisions>false</trackRevisions>
    </reviewItem>
    <reviewItem>
      <errorID>e7a3649b-b0be-42e1-8850-ac14ba624cf1</errorID>
      <errorWord>  </errorWord>
      <group>L1_Punc</group>
      <groupName>标点问题</groupName>
      <ability>L2_Punc_CN</ability>
      <abilityName>标点符号问题</abilityName>
      <candidateList>
        <item/>
      </candidateList>
      <explain>此处空格冗余，建议删除。</explain>
      <paraID>584F8088</paraID>
      <start>1</start>
      <end>1</end>
      <status>modified</status>
      <modifiedWord/>
      <trackRevisions>false</trackRevisions>
    </reviewItem>
    <reviewItem>
      <errorID>828f684a-96cc-4d0b-936d-c63e8d9bce89</errorID>
      <errorWord>地</errorWord>
      <group>L1_Word</group>
      <groupName>字词问题</groupName>
      <ability>L2_Typo</ability>
      <abilityName>字词错误</abilityName>
      <candidateList>
        <item>产地</item>
      </candidateList>
      <explain/>
      <paraID>36BFC174</paraID>
      <start>10</start>
      <end>12</end>
      <status>modified</status>
      <modifiedWord>产地</modifiedWord>
      <trackRevisions>false</trackRevisions>
    </reviewItem>
    <reviewItem>
      <errorID>256e059e-c4d6-4119-878a-b31911f3c0a0</errorID>
      <errorWord>型式</errorWord>
      <group>L1_Word</group>
      <groupName>字词问题</groupName>
      <ability>L2_Typo</ability>
      <abilityName>字词错误</abilityName>
      <candidateList>
        <item> 型式</item>
      </candidateList>
      <explain/>
      <paraID>289E00A6</paraID>
      <start>5</start>
      <end>7</end>
      <status>ignored</status>
      <modifiedWord/>
      <trackRevisions>false</trackRevisions>
    </reviewItem>
    <reviewItem>
      <errorID>f2056390-0a7b-4883-b26b-82f52eb1b898</errorID>
      <errorWord>，</errorWord>
      <group>L1_Word</group>
      <groupName>字词问题</groupName>
      <ability>L2_Typo</ability>
      <abilityName>字词错误</abilityName>
      <candidateList>
        <item>，以</item>
      </candidateList>
      <explain/>
      <paraID>7732CE82</paraID>
      <start>14</start>
      <end>16</end>
      <status>modified</status>
      <modifiedWord>，以</modifiedWord>
      <trackRevisions>false</trackRevisions>
    </reviewItem>
    <reviewItem>
      <errorID>48274520-dda7-458b-a225-6b3cdcb04616</errorID>
      <errorWord>及</errorWord>
      <group>L1_Word</group>
      <groupName>字词问题</groupName>
      <ability>L2_Typo</ability>
      <abilityName>字词错误</abilityName>
      <candidateList>
        <item>即</item>
      </candidateList>
      <explain>存在发音相同字词的误用。</explain>
      <paraID>7732CE82</paraID>
      <start>16</start>
      <end>17</end>
      <status>ignored</status>
      <modifiedWord/>
      <trackRevisions>false</trackRevisions>
    </reviewItem>
    <reviewItem>
      <errorID>99a5aa3e-d8e1-44c7-9c16-628972928666</errorID>
      <errorWord>交收</errorWord>
      <group>L1_Word</group>
      <groupName>字词问题</groupName>
      <ability>L2_Typo</ability>
      <abilityName>字词错误</abilityName>
      <candidateList>
        <item> 交收</item>
      </candidateList>
      <explain/>
      <paraID> AEBFD99</paraID>
      <start>5</start>
      <end>7</end>
      <status>ignored</status>
      <modifiedWord/>
      <trackRevisions>false</trackRevisions>
    </reviewItem>
    <reviewItem>
      <errorID>7aed7f44-8f64-44d3-8567-f78a7c8c9113</errorID>
      <errorWord>对</errorWord>
      <group>L1_Word</group>
      <groupName>字词问题</groupName>
      <ability>L2_Typo</ability>
      <abilityName>字词错误</abilityName>
      <candidateList>
        <item> 对</item>
      </candidateList>
      <explain/>
      <paraID>237EFE3F</paraID>
      <start>5</start>
      <end>6</end>
      <status>ignored</status>
      <modifiedWord/>
      <trackRevisions>false</trackRevisions>
    </reviewItem>
    <reviewItem>
      <errorID>a77fb109-56d2-4830-aeba-69bf5e7cd4fd</errorID>
      <errorWord>，</errorWord>
      <group>L1_Grammar</group>
      <groupName>语法问题</groupName>
      <ability>L2_Grammar</ability>
      <abilityName>语法错误</abilityName>
      <candidateList>
        <item>的情况，</item>
      </candidateList>
      <explain/>
      <paraID>237EFE3F</paraID>
      <start>19</start>
      <end>20</end>
      <status>ignored</status>
      <modifiedWord/>
      <trackRevisions>false</trackRevisions>
    </reviewItem>
    <reviewItem>
      <errorID>2f3e7592-df0a-433b-85bc-b3128331e192</errorID>
      <errorWord>,</errorWord>
      <group>L1_Format</group>
      <groupName>格式问题</groupName>
      <ability>L2_HalfPunc_CN</ability>
      <abilityName>全半角问题</abilityName>
      <candidateList>
        <item>，</item>
      </candidateList>
      <explain>文本全半角错误。</explain>
      <paraID> 2AE380D</paraID>
      <start>44</start>
      <end>45</end>
      <status>modified</status>
      <modifiedWord>，</modifiedWord>
      <trackRevisions>false</trackRevisions>
    </reviewItem>
    <reviewItem>
      <errorID>a41964c9-e74c-4f08-85d9-ae5e19239f22</errorID>
      <errorWord>级</errorWord>
      <group>L1_Word</group>
      <groupName>字词问题</groupName>
      <ability>L2_Typo</ability>
      <abilityName>字词错误</abilityName>
      <candidateList>
        <item>级和</item>
      </candidateList>
      <explain/>
      <paraID>5414473D</paraID>
      <start>49</start>
      <end>50</end>
      <status>ignored</status>
      <modifiedWord/>
      <trackRevisions>false</trackRevisions>
    </reviewItem>
  </reviewItems>
  <config/>
</contractReview>
</file>

<file path=customXml/itemProps1.xml><?xml version="1.0" encoding="utf-8"?>
<ds:datastoreItem xmlns:ds="http://schemas.openxmlformats.org/officeDocument/2006/customXml" ds:itemID="{9e8d4c3c-a88a-4132-8937-f0557a1c3b3f}">
  <ds:schemaRefs/>
</ds:datastoreItem>
</file>

<file path=docProps/app.xml><?xml version="1.0" encoding="utf-8"?>
<Properties xmlns="http://schemas.openxmlformats.org/officeDocument/2006/extended-properties" xmlns:vt="http://schemas.openxmlformats.org/officeDocument/2006/docPropsVTypes">
  <Pages>7</Pages>
  <Words>5414</Words>
  <Characters>6019</Characters>
  <TotalTime>18</TotalTime>
  <ScaleCrop>false</ScaleCrop>
  <LinksUpToDate>false</LinksUpToDate>
  <CharactersWithSpaces>6162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2026-06-04T07:39:00Z</dcterms:created>
  <dc:creator>Apache POI</dc:creator>
  <cp:lastModifiedBy>caia</cp:lastModifiedBy>
  <dcterms:modified xsi:type="dcterms:W3CDTF">2026-08-17T02:59:55Z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81D70241B90E43FF924FB87F1810F6B9_13</vt:lpwstr>
  </property>
  <property fmtid="{D5CDD505-2E9C-101B-9397-08002B2CF9AE}" pid="4" name="KSOTemplateDocerSaveRecord">
    <vt:lpwstr>eyJoZGlkIjoiN2IxZjI5ZDdhYzUzNTY1MzE5MGRjY2M0NDQ3OTk0MjgiLCJ1c2VySWQiOiI0NjIxOTUwMjYifQ==</vt:lpwstr>
  </property>
</Properties>
</file>